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6AD" w:rsidRDefault="009166AD" w:rsidP="009166AD">
      <w:pPr>
        <w:pStyle w:val="Heading1"/>
      </w:pPr>
      <w:r>
        <w:br/>
      </w:r>
      <w:r>
        <w:br/>
      </w:r>
      <w:r w:rsidRPr="007C5AB6">
        <w:t>Residential Lighting Impact Input Updates for DEER</w:t>
      </w:r>
    </w:p>
    <w:p w:rsidR="009166AD" w:rsidRPr="007C5AB6" w:rsidRDefault="009166AD" w:rsidP="009166AD">
      <w:pPr>
        <w:pStyle w:val="Heading2"/>
        <w:numPr>
          <w:ilvl w:val="1"/>
          <w:numId w:val="1"/>
        </w:numPr>
        <w:jc w:val="both"/>
      </w:pPr>
      <w:r w:rsidRPr="007C5AB6">
        <w:t>Introduction</w:t>
      </w:r>
    </w:p>
    <w:p w:rsidR="009166AD" w:rsidRPr="006E4F0E" w:rsidRDefault="009166AD" w:rsidP="009166AD">
      <w:r>
        <w:t>T</w:t>
      </w:r>
      <w:r w:rsidRPr="006E4F0E">
        <w:t>he Database for Ene</w:t>
      </w:r>
      <w:r>
        <w:t>rgy Efficient Resources (DEER) team</w:t>
      </w:r>
      <w:r w:rsidRPr="006E4F0E">
        <w:t xml:space="preserve"> was tasked with providing updated impact inputs for residential lighting measures</w:t>
      </w:r>
      <w:r>
        <w:t xml:space="preserve"> based on the significant share of savings represented by these programs and the availability of high quality lighting logger data</w:t>
      </w:r>
      <w:r w:rsidRPr="006E4F0E">
        <w:t>. The two key inputs that are being included in this short-term update are the Hours-of-Use profiles and the wattage-reduction ratios that go into the impact savings calculations for residential lighting measures. KEMA used data collected during the 2006-2008 Upstream Lighting Program (ULP) evaluation to develop the new savings inputs for the DEER calculations. These new inputs have been produced in collaboration with the DEER team and are being used in the interactive effects models to produce measure specific impact savings estimates. Below we provide an overview of the methods used for developing the values being suggested for the short-term updates.</w:t>
      </w:r>
    </w:p>
    <w:p w:rsidR="009166AD" w:rsidRDefault="009166AD" w:rsidP="009166AD">
      <w:pPr>
        <w:pStyle w:val="Heading2"/>
        <w:numPr>
          <w:ilvl w:val="1"/>
          <w:numId w:val="1"/>
        </w:numPr>
        <w:jc w:val="both"/>
      </w:pPr>
      <w:r>
        <w:t>Wattage Reduction Ratio Estimates</w:t>
      </w:r>
    </w:p>
    <w:p w:rsidR="009166AD" w:rsidRDefault="009166AD" w:rsidP="009166AD">
      <w:r>
        <w:t xml:space="preserve">The DEER team produced an updated wattage reduction ratio (WRR) by using the residential lighting inventory collected in the 2006-2008 ULP evaluation. The primary assumption used in developing the new wattage reduction ratio is that CFLs are replacing non-CFLs for residential savings. KEMA and the DEER team identified five different scenarios for interior lighting based on lamp shape; these scenarios reflect different aggregations of lamp types and are shown in </w:t>
      </w:r>
      <w:fldSimple w:instr=" REF _Ref307562316 ">
        <w:r>
          <w:t xml:space="preserve">Table </w:t>
        </w:r>
        <w:r>
          <w:rPr>
            <w:noProof/>
          </w:rPr>
          <w:t>3</w:t>
        </w:r>
        <w:r>
          <w:noBreakHyphen/>
        </w:r>
        <w:r>
          <w:rPr>
            <w:noProof/>
          </w:rPr>
          <w:t>1</w:t>
        </w:r>
      </w:fldSimple>
      <w:r>
        <w:t xml:space="preserve">. </w:t>
      </w:r>
    </w:p>
    <w:p w:rsidR="009166AD" w:rsidRDefault="009166AD" w:rsidP="009166AD">
      <w:pPr>
        <w:spacing w:after="130"/>
        <w:ind w:left="720" w:hanging="432"/>
      </w:pPr>
      <w:r>
        <w:br w:type="page"/>
      </w:r>
    </w:p>
    <w:p w:rsidR="009166AD" w:rsidRPr="006E4F0E" w:rsidRDefault="009166AD" w:rsidP="009166AD">
      <w:pPr>
        <w:pStyle w:val="Caption"/>
      </w:pPr>
      <w:bookmarkStart w:id="0" w:name="_Ref307562316"/>
      <w:r>
        <w:lastRenderedPageBreak/>
        <w:t xml:space="preserve">Table </w:t>
      </w:r>
      <w:fldSimple w:instr=" STYLEREF 1 \s ">
        <w:r>
          <w:rPr>
            <w:noProof/>
          </w:rPr>
          <w:t>3</w:t>
        </w:r>
      </w:fldSimple>
      <w:r>
        <w:noBreakHyphen/>
      </w:r>
      <w:fldSimple w:instr=" SEQ Table \* ARABIC \s 1 ">
        <w:r>
          <w:rPr>
            <w:noProof/>
          </w:rPr>
          <w:t>1</w:t>
        </w:r>
      </w:fldSimple>
      <w:bookmarkEnd w:id="0"/>
      <w:r>
        <w:t>: Wattage Reduction Ratio Interior Scenarios Sample Sizes</w:t>
      </w:r>
    </w:p>
    <w:tbl>
      <w:tblPr>
        <w:tblpPr w:leftFromText="180" w:rightFromText="180" w:vertAnchor="text" w:tblpY="1"/>
        <w:tblOverlap w:val="never"/>
        <w:tblW w:w="936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0A0"/>
      </w:tblPr>
      <w:tblGrid>
        <w:gridCol w:w="2005"/>
        <w:gridCol w:w="2520"/>
        <w:gridCol w:w="2250"/>
        <w:gridCol w:w="2585"/>
      </w:tblGrid>
      <w:tr w:rsidR="009166AD" w:rsidTr="00646DE4">
        <w:trPr>
          <w:trHeight w:val="420"/>
        </w:trPr>
        <w:tc>
          <w:tcPr>
            <w:tcW w:w="2005" w:type="dxa"/>
            <w:tcBorders>
              <w:top w:val="single" w:sz="12" w:space="0" w:color="auto"/>
              <w:bottom w:val="single" w:sz="12" w:space="0" w:color="auto"/>
            </w:tcBorders>
            <w:shd w:val="pct20" w:color="auto" w:fill="auto"/>
            <w:vAlign w:val="bottom"/>
          </w:tcPr>
          <w:p w:rsidR="009166AD" w:rsidRPr="00B1575C" w:rsidRDefault="009166AD" w:rsidP="00646DE4">
            <w:pPr>
              <w:keepNext/>
              <w:keepLines/>
              <w:spacing w:after="0" w:line="240" w:lineRule="auto"/>
              <w:jc w:val="center"/>
              <w:rPr>
                <w:b/>
              </w:rPr>
            </w:pPr>
          </w:p>
        </w:tc>
        <w:tc>
          <w:tcPr>
            <w:tcW w:w="2520" w:type="dxa"/>
            <w:tcBorders>
              <w:top w:val="single" w:sz="12" w:space="0" w:color="auto"/>
              <w:bottom w:val="single" w:sz="12" w:space="0" w:color="auto"/>
            </w:tcBorders>
            <w:shd w:val="pct20" w:color="auto" w:fill="auto"/>
            <w:vAlign w:val="bottom"/>
          </w:tcPr>
          <w:p w:rsidR="009166AD" w:rsidRPr="00B1575C" w:rsidRDefault="009166AD" w:rsidP="00646DE4">
            <w:pPr>
              <w:spacing w:after="0" w:line="240" w:lineRule="auto"/>
              <w:jc w:val="center"/>
              <w:rPr>
                <w:b/>
              </w:rPr>
            </w:pPr>
            <w:r w:rsidRPr="00B1575C">
              <w:rPr>
                <w:b/>
              </w:rPr>
              <w:t>CFL Lamp Shape</w:t>
            </w:r>
          </w:p>
        </w:tc>
        <w:tc>
          <w:tcPr>
            <w:tcW w:w="2250" w:type="dxa"/>
            <w:tcBorders>
              <w:top w:val="single" w:sz="12" w:space="0" w:color="auto"/>
              <w:bottom w:val="single" w:sz="12" w:space="0" w:color="auto"/>
            </w:tcBorders>
            <w:shd w:val="pct20" w:color="auto" w:fill="auto"/>
            <w:vAlign w:val="bottom"/>
          </w:tcPr>
          <w:p w:rsidR="009166AD" w:rsidRPr="00B1575C" w:rsidRDefault="009166AD" w:rsidP="00646DE4">
            <w:pPr>
              <w:spacing w:after="0" w:line="240" w:lineRule="auto"/>
              <w:jc w:val="center"/>
              <w:rPr>
                <w:b/>
              </w:rPr>
            </w:pPr>
            <w:r w:rsidRPr="00B1575C">
              <w:rPr>
                <w:b/>
              </w:rPr>
              <w:t>CFL Sample Size</w:t>
            </w:r>
          </w:p>
        </w:tc>
        <w:tc>
          <w:tcPr>
            <w:tcW w:w="2585" w:type="dxa"/>
            <w:tcBorders>
              <w:top w:val="single" w:sz="12" w:space="0" w:color="auto"/>
              <w:bottom w:val="single" w:sz="12" w:space="0" w:color="auto"/>
            </w:tcBorders>
            <w:shd w:val="pct20" w:color="auto" w:fill="auto"/>
            <w:vAlign w:val="bottom"/>
          </w:tcPr>
          <w:p w:rsidR="009166AD" w:rsidRPr="00B1575C" w:rsidRDefault="009166AD" w:rsidP="00646DE4">
            <w:pPr>
              <w:spacing w:after="0" w:line="240" w:lineRule="auto"/>
              <w:jc w:val="center"/>
              <w:rPr>
                <w:b/>
              </w:rPr>
            </w:pPr>
            <w:r w:rsidRPr="00B1575C">
              <w:rPr>
                <w:b/>
              </w:rPr>
              <w:t>Non-CFL Sample Size</w:t>
            </w:r>
          </w:p>
        </w:tc>
      </w:tr>
      <w:tr w:rsidR="009166AD" w:rsidTr="00646DE4">
        <w:tc>
          <w:tcPr>
            <w:tcW w:w="2005" w:type="dxa"/>
            <w:vMerge w:val="restart"/>
            <w:vAlign w:val="center"/>
          </w:tcPr>
          <w:p w:rsidR="009166AD" w:rsidRDefault="009166AD" w:rsidP="00646DE4">
            <w:pPr>
              <w:keepNext/>
              <w:keepLines/>
              <w:spacing w:after="0" w:line="240" w:lineRule="auto"/>
              <w:jc w:val="left"/>
            </w:pPr>
            <w:r w:rsidRPr="006E4F0E">
              <w:t>Scenario 1</w:t>
            </w:r>
          </w:p>
        </w:tc>
        <w:tc>
          <w:tcPr>
            <w:tcW w:w="2520" w:type="dxa"/>
          </w:tcPr>
          <w:p w:rsidR="009166AD" w:rsidRPr="00731113" w:rsidRDefault="009166AD" w:rsidP="00646DE4">
            <w:pPr>
              <w:spacing w:after="0" w:line="240" w:lineRule="auto"/>
              <w:jc w:val="center"/>
            </w:pPr>
            <w:r w:rsidRPr="00731113">
              <w:t>A-LINE</w:t>
            </w:r>
          </w:p>
        </w:tc>
        <w:tc>
          <w:tcPr>
            <w:tcW w:w="2250" w:type="dxa"/>
          </w:tcPr>
          <w:p w:rsidR="009166AD" w:rsidRPr="00307DAC" w:rsidRDefault="009166AD" w:rsidP="00646DE4">
            <w:pPr>
              <w:spacing w:after="0" w:line="240" w:lineRule="auto"/>
              <w:jc w:val="center"/>
            </w:pPr>
            <w:r w:rsidRPr="00307DAC">
              <w:t>162</w:t>
            </w:r>
          </w:p>
        </w:tc>
        <w:tc>
          <w:tcPr>
            <w:tcW w:w="2585" w:type="dxa"/>
          </w:tcPr>
          <w:p w:rsidR="009166AD" w:rsidRPr="004153A4" w:rsidRDefault="009166AD" w:rsidP="00646DE4">
            <w:pPr>
              <w:spacing w:after="0" w:line="240" w:lineRule="auto"/>
              <w:jc w:val="center"/>
            </w:pPr>
            <w:r w:rsidRPr="004153A4">
              <w:t>10287</w:t>
            </w:r>
          </w:p>
        </w:tc>
      </w:tr>
      <w:tr w:rsidR="009166AD" w:rsidTr="00646DE4">
        <w:tc>
          <w:tcPr>
            <w:tcW w:w="2005" w:type="dxa"/>
            <w:vMerge/>
            <w:vAlign w:val="center"/>
          </w:tcPr>
          <w:p w:rsidR="009166AD" w:rsidRDefault="009166AD" w:rsidP="00646DE4">
            <w:pPr>
              <w:keepNext/>
              <w:keepLines/>
              <w:spacing w:after="0" w:line="240" w:lineRule="auto"/>
              <w:jc w:val="left"/>
            </w:pPr>
          </w:p>
        </w:tc>
        <w:tc>
          <w:tcPr>
            <w:tcW w:w="2520" w:type="dxa"/>
          </w:tcPr>
          <w:p w:rsidR="009166AD" w:rsidRPr="00731113" w:rsidRDefault="009166AD" w:rsidP="00646DE4">
            <w:pPr>
              <w:spacing w:after="0" w:line="240" w:lineRule="auto"/>
              <w:jc w:val="center"/>
            </w:pPr>
            <w:r w:rsidRPr="00731113">
              <w:t>GLOBE</w:t>
            </w:r>
          </w:p>
        </w:tc>
        <w:tc>
          <w:tcPr>
            <w:tcW w:w="2250" w:type="dxa"/>
          </w:tcPr>
          <w:p w:rsidR="009166AD" w:rsidRPr="00307DAC" w:rsidRDefault="009166AD" w:rsidP="00646DE4">
            <w:pPr>
              <w:spacing w:after="0" w:line="240" w:lineRule="auto"/>
              <w:jc w:val="center"/>
            </w:pPr>
            <w:r w:rsidRPr="00307DAC">
              <w:t>173</w:t>
            </w:r>
          </w:p>
        </w:tc>
        <w:tc>
          <w:tcPr>
            <w:tcW w:w="2585" w:type="dxa"/>
          </w:tcPr>
          <w:p w:rsidR="009166AD" w:rsidRPr="004153A4" w:rsidRDefault="009166AD" w:rsidP="00646DE4">
            <w:pPr>
              <w:spacing w:after="0" w:line="240" w:lineRule="auto"/>
              <w:jc w:val="center"/>
            </w:pPr>
            <w:r w:rsidRPr="004153A4">
              <w:t>971</w:t>
            </w:r>
          </w:p>
        </w:tc>
      </w:tr>
      <w:tr w:rsidR="009166AD" w:rsidTr="00646DE4">
        <w:tc>
          <w:tcPr>
            <w:tcW w:w="2005" w:type="dxa"/>
            <w:vMerge/>
            <w:vAlign w:val="center"/>
          </w:tcPr>
          <w:p w:rsidR="009166AD" w:rsidRDefault="009166AD" w:rsidP="00646DE4">
            <w:pPr>
              <w:keepNext/>
              <w:keepLines/>
              <w:spacing w:after="0" w:line="240" w:lineRule="auto"/>
              <w:jc w:val="left"/>
            </w:pPr>
          </w:p>
        </w:tc>
        <w:tc>
          <w:tcPr>
            <w:tcW w:w="2520" w:type="dxa"/>
          </w:tcPr>
          <w:p w:rsidR="009166AD" w:rsidRPr="00731113" w:rsidRDefault="009166AD" w:rsidP="00646DE4">
            <w:pPr>
              <w:spacing w:after="0" w:line="240" w:lineRule="auto"/>
              <w:jc w:val="center"/>
            </w:pPr>
            <w:r w:rsidRPr="00731113">
              <w:t>ALL OTHER</w:t>
            </w:r>
          </w:p>
        </w:tc>
        <w:tc>
          <w:tcPr>
            <w:tcW w:w="2250" w:type="dxa"/>
          </w:tcPr>
          <w:p w:rsidR="009166AD" w:rsidRPr="00307DAC" w:rsidRDefault="009166AD" w:rsidP="00646DE4">
            <w:pPr>
              <w:spacing w:after="0" w:line="240" w:lineRule="auto"/>
              <w:jc w:val="center"/>
            </w:pPr>
            <w:r w:rsidRPr="00307DAC">
              <w:t>391</w:t>
            </w:r>
          </w:p>
        </w:tc>
        <w:tc>
          <w:tcPr>
            <w:tcW w:w="2585" w:type="dxa"/>
          </w:tcPr>
          <w:p w:rsidR="009166AD" w:rsidRPr="004153A4" w:rsidRDefault="009166AD" w:rsidP="00646DE4">
            <w:pPr>
              <w:spacing w:after="0" w:line="240" w:lineRule="auto"/>
              <w:jc w:val="center"/>
            </w:pPr>
            <w:r w:rsidRPr="004153A4">
              <w:t>877</w:t>
            </w:r>
          </w:p>
        </w:tc>
      </w:tr>
      <w:tr w:rsidR="009166AD" w:rsidTr="00646DE4">
        <w:tc>
          <w:tcPr>
            <w:tcW w:w="2005" w:type="dxa"/>
            <w:vMerge/>
            <w:vAlign w:val="center"/>
          </w:tcPr>
          <w:p w:rsidR="009166AD" w:rsidRDefault="009166AD" w:rsidP="00646DE4">
            <w:pPr>
              <w:keepNext/>
              <w:keepLines/>
              <w:spacing w:after="0" w:line="240" w:lineRule="auto"/>
              <w:jc w:val="left"/>
            </w:pPr>
          </w:p>
        </w:tc>
        <w:tc>
          <w:tcPr>
            <w:tcW w:w="2520" w:type="dxa"/>
          </w:tcPr>
          <w:p w:rsidR="009166AD" w:rsidRPr="00731113" w:rsidRDefault="009166AD" w:rsidP="00646DE4">
            <w:pPr>
              <w:spacing w:after="0" w:line="240" w:lineRule="auto"/>
              <w:jc w:val="center"/>
            </w:pPr>
            <w:r w:rsidRPr="00731113">
              <w:t>REFLECTOR</w:t>
            </w:r>
          </w:p>
        </w:tc>
        <w:tc>
          <w:tcPr>
            <w:tcW w:w="2250" w:type="dxa"/>
          </w:tcPr>
          <w:p w:rsidR="009166AD" w:rsidRPr="00307DAC" w:rsidRDefault="009166AD" w:rsidP="00646DE4">
            <w:pPr>
              <w:spacing w:after="0" w:line="240" w:lineRule="auto"/>
              <w:jc w:val="center"/>
            </w:pPr>
            <w:r w:rsidRPr="00307DAC">
              <w:t>426</w:t>
            </w:r>
          </w:p>
        </w:tc>
        <w:tc>
          <w:tcPr>
            <w:tcW w:w="2585" w:type="dxa"/>
          </w:tcPr>
          <w:p w:rsidR="009166AD" w:rsidRPr="004153A4" w:rsidRDefault="009166AD" w:rsidP="00646DE4">
            <w:pPr>
              <w:spacing w:after="0" w:line="240" w:lineRule="auto"/>
              <w:jc w:val="center"/>
            </w:pPr>
            <w:r w:rsidRPr="004153A4">
              <w:t>2754</w:t>
            </w:r>
          </w:p>
        </w:tc>
      </w:tr>
      <w:tr w:rsidR="009166AD" w:rsidTr="00646DE4">
        <w:tc>
          <w:tcPr>
            <w:tcW w:w="2005" w:type="dxa"/>
            <w:vMerge/>
            <w:vAlign w:val="center"/>
          </w:tcPr>
          <w:p w:rsidR="009166AD" w:rsidRDefault="009166AD" w:rsidP="00646DE4">
            <w:pPr>
              <w:keepNext/>
              <w:keepLines/>
              <w:spacing w:after="0" w:line="240" w:lineRule="auto"/>
              <w:jc w:val="left"/>
            </w:pPr>
          </w:p>
        </w:tc>
        <w:tc>
          <w:tcPr>
            <w:tcW w:w="2520" w:type="dxa"/>
          </w:tcPr>
          <w:p w:rsidR="009166AD" w:rsidRPr="00731113" w:rsidRDefault="009166AD" w:rsidP="00646DE4">
            <w:pPr>
              <w:spacing w:after="0" w:line="240" w:lineRule="auto"/>
              <w:jc w:val="center"/>
            </w:pPr>
            <w:r w:rsidRPr="00731113">
              <w:t>SPIRAL</w:t>
            </w:r>
          </w:p>
        </w:tc>
        <w:tc>
          <w:tcPr>
            <w:tcW w:w="2250" w:type="dxa"/>
          </w:tcPr>
          <w:p w:rsidR="009166AD" w:rsidRPr="00307DAC" w:rsidRDefault="009166AD" w:rsidP="00646DE4">
            <w:pPr>
              <w:spacing w:after="0" w:line="240" w:lineRule="auto"/>
              <w:jc w:val="center"/>
            </w:pPr>
            <w:r w:rsidRPr="00307DAC">
              <w:t>6070</w:t>
            </w:r>
          </w:p>
        </w:tc>
        <w:tc>
          <w:tcPr>
            <w:tcW w:w="2585" w:type="dxa"/>
          </w:tcPr>
          <w:p w:rsidR="009166AD" w:rsidRPr="004153A4" w:rsidRDefault="009166AD" w:rsidP="00646DE4">
            <w:pPr>
              <w:spacing w:after="0" w:line="240" w:lineRule="auto"/>
              <w:jc w:val="center"/>
            </w:pPr>
            <w:r w:rsidRPr="004153A4">
              <w:t>-</w:t>
            </w:r>
          </w:p>
        </w:tc>
      </w:tr>
      <w:tr w:rsidR="009166AD" w:rsidTr="00646DE4">
        <w:tc>
          <w:tcPr>
            <w:tcW w:w="2005" w:type="dxa"/>
            <w:vMerge w:val="restart"/>
            <w:vAlign w:val="center"/>
          </w:tcPr>
          <w:p w:rsidR="009166AD" w:rsidRDefault="009166AD" w:rsidP="00646DE4">
            <w:pPr>
              <w:keepNext/>
              <w:keepLines/>
              <w:spacing w:after="0" w:line="240" w:lineRule="auto"/>
              <w:jc w:val="left"/>
            </w:pPr>
            <w:r w:rsidRPr="006E4F0E">
              <w:t>Scenario 2</w:t>
            </w:r>
          </w:p>
        </w:tc>
        <w:tc>
          <w:tcPr>
            <w:tcW w:w="2520" w:type="dxa"/>
          </w:tcPr>
          <w:p w:rsidR="009166AD" w:rsidRPr="00731113" w:rsidRDefault="009166AD" w:rsidP="00646DE4">
            <w:pPr>
              <w:spacing w:after="0" w:line="240" w:lineRule="auto"/>
              <w:jc w:val="center"/>
            </w:pPr>
            <w:r w:rsidRPr="00731113">
              <w:t>A-LINE/SPIRAL</w:t>
            </w:r>
          </w:p>
        </w:tc>
        <w:tc>
          <w:tcPr>
            <w:tcW w:w="2250" w:type="dxa"/>
          </w:tcPr>
          <w:p w:rsidR="009166AD" w:rsidRPr="00307DAC" w:rsidRDefault="009166AD" w:rsidP="00646DE4">
            <w:pPr>
              <w:spacing w:after="0" w:line="240" w:lineRule="auto"/>
              <w:jc w:val="center"/>
            </w:pPr>
            <w:r w:rsidRPr="00307DAC">
              <w:t>6232</w:t>
            </w:r>
          </w:p>
        </w:tc>
        <w:tc>
          <w:tcPr>
            <w:tcW w:w="2585" w:type="dxa"/>
          </w:tcPr>
          <w:p w:rsidR="009166AD" w:rsidRPr="004153A4" w:rsidRDefault="009166AD" w:rsidP="00646DE4">
            <w:pPr>
              <w:spacing w:after="0" w:line="240" w:lineRule="auto"/>
              <w:jc w:val="center"/>
            </w:pPr>
            <w:r w:rsidRPr="004153A4">
              <w:t>10287</w:t>
            </w:r>
          </w:p>
        </w:tc>
      </w:tr>
      <w:tr w:rsidR="009166AD" w:rsidTr="00646DE4">
        <w:tc>
          <w:tcPr>
            <w:tcW w:w="2005" w:type="dxa"/>
            <w:vMerge/>
            <w:vAlign w:val="center"/>
          </w:tcPr>
          <w:p w:rsidR="009166AD" w:rsidRDefault="009166AD" w:rsidP="00646DE4">
            <w:pPr>
              <w:keepNext/>
              <w:keepLines/>
              <w:spacing w:after="0" w:line="240" w:lineRule="auto"/>
              <w:jc w:val="left"/>
            </w:pPr>
          </w:p>
        </w:tc>
        <w:tc>
          <w:tcPr>
            <w:tcW w:w="2520" w:type="dxa"/>
          </w:tcPr>
          <w:p w:rsidR="009166AD" w:rsidRPr="00731113" w:rsidRDefault="009166AD" w:rsidP="00646DE4">
            <w:pPr>
              <w:spacing w:after="0" w:line="240" w:lineRule="auto"/>
              <w:jc w:val="center"/>
            </w:pPr>
            <w:r w:rsidRPr="00731113">
              <w:t>GLOBE</w:t>
            </w:r>
          </w:p>
        </w:tc>
        <w:tc>
          <w:tcPr>
            <w:tcW w:w="2250" w:type="dxa"/>
          </w:tcPr>
          <w:p w:rsidR="009166AD" w:rsidRPr="00307DAC" w:rsidRDefault="009166AD" w:rsidP="00646DE4">
            <w:pPr>
              <w:spacing w:after="0" w:line="240" w:lineRule="auto"/>
              <w:jc w:val="center"/>
            </w:pPr>
            <w:r w:rsidRPr="00307DAC">
              <w:t>173</w:t>
            </w:r>
          </w:p>
        </w:tc>
        <w:tc>
          <w:tcPr>
            <w:tcW w:w="2585" w:type="dxa"/>
          </w:tcPr>
          <w:p w:rsidR="009166AD" w:rsidRPr="004153A4" w:rsidRDefault="009166AD" w:rsidP="00646DE4">
            <w:pPr>
              <w:spacing w:after="0" w:line="240" w:lineRule="auto"/>
              <w:jc w:val="center"/>
            </w:pPr>
            <w:r w:rsidRPr="004153A4">
              <w:t>971</w:t>
            </w:r>
          </w:p>
        </w:tc>
      </w:tr>
      <w:tr w:rsidR="009166AD" w:rsidTr="00646DE4">
        <w:tc>
          <w:tcPr>
            <w:tcW w:w="2005" w:type="dxa"/>
            <w:vMerge/>
            <w:vAlign w:val="center"/>
          </w:tcPr>
          <w:p w:rsidR="009166AD" w:rsidRDefault="009166AD" w:rsidP="00646DE4">
            <w:pPr>
              <w:keepNext/>
              <w:keepLines/>
              <w:spacing w:after="0" w:line="240" w:lineRule="auto"/>
              <w:jc w:val="left"/>
            </w:pPr>
          </w:p>
        </w:tc>
        <w:tc>
          <w:tcPr>
            <w:tcW w:w="2520" w:type="dxa"/>
          </w:tcPr>
          <w:p w:rsidR="009166AD" w:rsidRPr="00731113" w:rsidRDefault="009166AD" w:rsidP="00646DE4">
            <w:pPr>
              <w:spacing w:after="0" w:line="240" w:lineRule="auto"/>
              <w:jc w:val="center"/>
            </w:pPr>
            <w:r w:rsidRPr="00731113">
              <w:t>ALL OTHER</w:t>
            </w:r>
          </w:p>
        </w:tc>
        <w:tc>
          <w:tcPr>
            <w:tcW w:w="2250" w:type="dxa"/>
          </w:tcPr>
          <w:p w:rsidR="009166AD" w:rsidRPr="00307DAC" w:rsidRDefault="009166AD" w:rsidP="00646DE4">
            <w:pPr>
              <w:spacing w:after="0" w:line="240" w:lineRule="auto"/>
              <w:jc w:val="center"/>
            </w:pPr>
            <w:r w:rsidRPr="00307DAC">
              <w:t>391</w:t>
            </w:r>
          </w:p>
        </w:tc>
        <w:tc>
          <w:tcPr>
            <w:tcW w:w="2585" w:type="dxa"/>
          </w:tcPr>
          <w:p w:rsidR="009166AD" w:rsidRPr="004153A4" w:rsidRDefault="009166AD" w:rsidP="00646DE4">
            <w:pPr>
              <w:spacing w:after="0" w:line="240" w:lineRule="auto"/>
              <w:jc w:val="center"/>
            </w:pPr>
            <w:r w:rsidRPr="004153A4">
              <w:t>877</w:t>
            </w:r>
          </w:p>
        </w:tc>
      </w:tr>
      <w:tr w:rsidR="009166AD" w:rsidTr="00646DE4">
        <w:tc>
          <w:tcPr>
            <w:tcW w:w="2005" w:type="dxa"/>
            <w:vMerge/>
            <w:vAlign w:val="center"/>
          </w:tcPr>
          <w:p w:rsidR="009166AD" w:rsidRDefault="009166AD" w:rsidP="00646DE4">
            <w:pPr>
              <w:keepNext/>
              <w:keepLines/>
              <w:spacing w:after="0" w:line="240" w:lineRule="auto"/>
              <w:jc w:val="left"/>
            </w:pPr>
          </w:p>
        </w:tc>
        <w:tc>
          <w:tcPr>
            <w:tcW w:w="2520" w:type="dxa"/>
          </w:tcPr>
          <w:p w:rsidR="009166AD" w:rsidRPr="00731113" w:rsidRDefault="009166AD" w:rsidP="00646DE4">
            <w:pPr>
              <w:spacing w:after="0" w:line="240" w:lineRule="auto"/>
              <w:jc w:val="center"/>
            </w:pPr>
            <w:r w:rsidRPr="00731113">
              <w:t>REFLECTOR</w:t>
            </w:r>
          </w:p>
        </w:tc>
        <w:tc>
          <w:tcPr>
            <w:tcW w:w="2250" w:type="dxa"/>
          </w:tcPr>
          <w:p w:rsidR="009166AD" w:rsidRPr="00307DAC" w:rsidRDefault="009166AD" w:rsidP="00646DE4">
            <w:pPr>
              <w:spacing w:after="0" w:line="240" w:lineRule="auto"/>
              <w:jc w:val="center"/>
            </w:pPr>
            <w:r w:rsidRPr="00307DAC">
              <w:t>426</w:t>
            </w:r>
          </w:p>
        </w:tc>
        <w:tc>
          <w:tcPr>
            <w:tcW w:w="2585" w:type="dxa"/>
          </w:tcPr>
          <w:p w:rsidR="009166AD" w:rsidRPr="004153A4" w:rsidRDefault="009166AD" w:rsidP="00646DE4">
            <w:pPr>
              <w:spacing w:after="0" w:line="240" w:lineRule="auto"/>
              <w:jc w:val="center"/>
            </w:pPr>
            <w:r w:rsidRPr="004153A4">
              <w:t>2754</w:t>
            </w:r>
          </w:p>
        </w:tc>
      </w:tr>
      <w:tr w:rsidR="009166AD" w:rsidTr="00646DE4">
        <w:tc>
          <w:tcPr>
            <w:tcW w:w="2005" w:type="dxa"/>
            <w:vMerge w:val="restart"/>
            <w:vAlign w:val="center"/>
          </w:tcPr>
          <w:p w:rsidR="009166AD" w:rsidRDefault="009166AD" w:rsidP="00646DE4">
            <w:pPr>
              <w:keepNext/>
              <w:keepLines/>
              <w:spacing w:after="0" w:line="240" w:lineRule="auto"/>
              <w:jc w:val="left"/>
            </w:pPr>
            <w:r w:rsidRPr="006E4F0E">
              <w:t>Scenario 3</w:t>
            </w:r>
          </w:p>
        </w:tc>
        <w:tc>
          <w:tcPr>
            <w:tcW w:w="2520" w:type="dxa"/>
          </w:tcPr>
          <w:p w:rsidR="009166AD" w:rsidRPr="00731113" w:rsidRDefault="009166AD" w:rsidP="00646DE4">
            <w:pPr>
              <w:spacing w:after="0" w:line="240" w:lineRule="auto"/>
              <w:jc w:val="center"/>
            </w:pPr>
            <w:r w:rsidRPr="00731113">
              <w:t>A-LINE/SPIRAL</w:t>
            </w:r>
          </w:p>
        </w:tc>
        <w:tc>
          <w:tcPr>
            <w:tcW w:w="2250" w:type="dxa"/>
          </w:tcPr>
          <w:p w:rsidR="009166AD" w:rsidRPr="00307DAC" w:rsidRDefault="009166AD" w:rsidP="00646DE4">
            <w:pPr>
              <w:spacing w:after="0" w:line="240" w:lineRule="auto"/>
              <w:jc w:val="center"/>
            </w:pPr>
            <w:r w:rsidRPr="00307DAC">
              <w:t>6232</w:t>
            </w:r>
          </w:p>
        </w:tc>
        <w:tc>
          <w:tcPr>
            <w:tcW w:w="2585" w:type="dxa"/>
          </w:tcPr>
          <w:p w:rsidR="009166AD" w:rsidRPr="004153A4" w:rsidRDefault="009166AD" w:rsidP="00646DE4">
            <w:pPr>
              <w:spacing w:after="0" w:line="240" w:lineRule="auto"/>
              <w:jc w:val="center"/>
            </w:pPr>
            <w:r w:rsidRPr="004153A4">
              <w:t>10287</w:t>
            </w:r>
          </w:p>
        </w:tc>
      </w:tr>
      <w:tr w:rsidR="009166AD" w:rsidTr="00646DE4">
        <w:tc>
          <w:tcPr>
            <w:tcW w:w="2005" w:type="dxa"/>
            <w:vMerge/>
            <w:vAlign w:val="center"/>
          </w:tcPr>
          <w:p w:rsidR="009166AD" w:rsidRDefault="009166AD" w:rsidP="00646DE4">
            <w:pPr>
              <w:keepNext/>
              <w:keepLines/>
              <w:spacing w:after="0" w:line="240" w:lineRule="auto"/>
              <w:jc w:val="left"/>
            </w:pPr>
          </w:p>
        </w:tc>
        <w:tc>
          <w:tcPr>
            <w:tcW w:w="2520" w:type="dxa"/>
          </w:tcPr>
          <w:p w:rsidR="009166AD" w:rsidRPr="00731113" w:rsidRDefault="009166AD" w:rsidP="00646DE4">
            <w:pPr>
              <w:spacing w:after="0" w:line="240" w:lineRule="auto"/>
              <w:jc w:val="center"/>
            </w:pPr>
            <w:r w:rsidRPr="00731113">
              <w:t>ALL OTHER</w:t>
            </w:r>
          </w:p>
        </w:tc>
        <w:tc>
          <w:tcPr>
            <w:tcW w:w="2250" w:type="dxa"/>
          </w:tcPr>
          <w:p w:rsidR="009166AD" w:rsidRPr="00307DAC" w:rsidRDefault="009166AD" w:rsidP="00646DE4">
            <w:pPr>
              <w:spacing w:after="0" w:line="240" w:lineRule="auto"/>
              <w:jc w:val="center"/>
            </w:pPr>
            <w:r w:rsidRPr="00307DAC">
              <w:t>990</w:t>
            </w:r>
          </w:p>
        </w:tc>
        <w:tc>
          <w:tcPr>
            <w:tcW w:w="2585" w:type="dxa"/>
          </w:tcPr>
          <w:p w:rsidR="009166AD" w:rsidRPr="004153A4" w:rsidRDefault="009166AD" w:rsidP="00646DE4">
            <w:pPr>
              <w:spacing w:after="0" w:line="240" w:lineRule="auto"/>
              <w:jc w:val="center"/>
            </w:pPr>
            <w:r w:rsidRPr="004153A4">
              <w:t>4602</w:t>
            </w:r>
          </w:p>
        </w:tc>
      </w:tr>
      <w:tr w:rsidR="009166AD" w:rsidTr="00646DE4">
        <w:tc>
          <w:tcPr>
            <w:tcW w:w="2005" w:type="dxa"/>
            <w:vMerge w:val="restart"/>
            <w:vAlign w:val="center"/>
          </w:tcPr>
          <w:p w:rsidR="009166AD" w:rsidRDefault="009166AD" w:rsidP="00646DE4">
            <w:pPr>
              <w:keepNext/>
              <w:keepLines/>
              <w:spacing w:after="0" w:line="240" w:lineRule="auto"/>
              <w:jc w:val="left"/>
            </w:pPr>
            <w:r w:rsidRPr="006E4F0E">
              <w:t>Scenario 4</w:t>
            </w:r>
          </w:p>
        </w:tc>
        <w:tc>
          <w:tcPr>
            <w:tcW w:w="2520" w:type="dxa"/>
          </w:tcPr>
          <w:p w:rsidR="009166AD" w:rsidRPr="00731113" w:rsidRDefault="009166AD" w:rsidP="00646DE4">
            <w:pPr>
              <w:spacing w:after="0" w:line="240" w:lineRule="auto"/>
              <w:jc w:val="center"/>
            </w:pPr>
            <w:r w:rsidRPr="00731113">
              <w:t>REFLECTOR</w:t>
            </w:r>
          </w:p>
        </w:tc>
        <w:tc>
          <w:tcPr>
            <w:tcW w:w="2250" w:type="dxa"/>
          </w:tcPr>
          <w:p w:rsidR="009166AD" w:rsidRPr="00307DAC" w:rsidRDefault="009166AD" w:rsidP="00646DE4">
            <w:pPr>
              <w:spacing w:after="0" w:line="240" w:lineRule="auto"/>
              <w:jc w:val="center"/>
            </w:pPr>
            <w:r w:rsidRPr="00307DAC">
              <w:t>426</w:t>
            </w:r>
          </w:p>
        </w:tc>
        <w:tc>
          <w:tcPr>
            <w:tcW w:w="2585" w:type="dxa"/>
          </w:tcPr>
          <w:p w:rsidR="009166AD" w:rsidRPr="004153A4" w:rsidRDefault="009166AD" w:rsidP="00646DE4">
            <w:pPr>
              <w:spacing w:after="0" w:line="240" w:lineRule="auto"/>
              <w:jc w:val="center"/>
            </w:pPr>
            <w:r w:rsidRPr="004153A4">
              <w:t>2754</w:t>
            </w:r>
          </w:p>
        </w:tc>
      </w:tr>
      <w:tr w:rsidR="009166AD" w:rsidTr="00646DE4">
        <w:tc>
          <w:tcPr>
            <w:tcW w:w="2005" w:type="dxa"/>
            <w:vMerge/>
            <w:vAlign w:val="center"/>
          </w:tcPr>
          <w:p w:rsidR="009166AD" w:rsidRDefault="009166AD" w:rsidP="00646DE4">
            <w:pPr>
              <w:keepNext/>
              <w:keepLines/>
              <w:spacing w:after="0" w:line="240" w:lineRule="auto"/>
              <w:jc w:val="left"/>
            </w:pPr>
          </w:p>
        </w:tc>
        <w:tc>
          <w:tcPr>
            <w:tcW w:w="2520" w:type="dxa"/>
          </w:tcPr>
          <w:p w:rsidR="009166AD" w:rsidRPr="00731113" w:rsidRDefault="009166AD" w:rsidP="00646DE4">
            <w:pPr>
              <w:spacing w:after="0" w:line="240" w:lineRule="auto"/>
              <w:jc w:val="center"/>
            </w:pPr>
            <w:r w:rsidRPr="00731113">
              <w:t>ALL OTHER</w:t>
            </w:r>
          </w:p>
        </w:tc>
        <w:tc>
          <w:tcPr>
            <w:tcW w:w="2250" w:type="dxa"/>
          </w:tcPr>
          <w:p w:rsidR="009166AD" w:rsidRPr="00307DAC" w:rsidRDefault="009166AD" w:rsidP="00646DE4">
            <w:pPr>
              <w:spacing w:after="0" w:line="240" w:lineRule="auto"/>
              <w:jc w:val="center"/>
            </w:pPr>
            <w:r w:rsidRPr="00307DAC">
              <w:t>6796</w:t>
            </w:r>
          </w:p>
        </w:tc>
        <w:tc>
          <w:tcPr>
            <w:tcW w:w="2585" w:type="dxa"/>
          </w:tcPr>
          <w:p w:rsidR="009166AD" w:rsidRPr="004153A4" w:rsidRDefault="009166AD" w:rsidP="00646DE4">
            <w:pPr>
              <w:spacing w:after="0" w:line="240" w:lineRule="auto"/>
              <w:jc w:val="center"/>
            </w:pPr>
            <w:r w:rsidRPr="004153A4">
              <w:t>12135</w:t>
            </w:r>
          </w:p>
        </w:tc>
      </w:tr>
      <w:tr w:rsidR="009166AD" w:rsidTr="00646DE4">
        <w:tc>
          <w:tcPr>
            <w:tcW w:w="2005" w:type="dxa"/>
            <w:tcBorders>
              <w:bottom w:val="single" w:sz="12" w:space="0" w:color="auto"/>
            </w:tcBorders>
            <w:vAlign w:val="center"/>
          </w:tcPr>
          <w:p w:rsidR="009166AD" w:rsidRDefault="009166AD" w:rsidP="00646DE4">
            <w:pPr>
              <w:keepNext/>
              <w:keepLines/>
              <w:spacing w:after="0" w:line="240" w:lineRule="auto"/>
              <w:jc w:val="left"/>
            </w:pPr>
            <w:r w:rsidRPr="006E4F0E">
              <w:t>Scenario 5</w:t>
            </w:r>
          </w:p>
        </w:tc>
        <w:tc>
          <w:tcPr>
            <w:tcW w:w="2520" w:type="dxa"/>
            <w:tcBorders>
              <w:bottom w:val="single" w:sz="12" w:space="0" w:color="auto"/>
            </w:tcBorders>
          </w:tcPr>
          <w:p w:rsidR="009166AD" w:rsidRDefault="009166AD" w:rsidP="00646DE4">
            <w:pPr>
              <w:spacing w:after="0" w:line="240" w:lineRule="auto"/>
              <w:jc w:val="center"/>
            </w:pPr>
            <w:r w:rsidRPr="00731113">
              <w:t>All</w:t>
            </w:r>
          </w:p>
        </w:tc>
        <w:tc>
          <w:tcPr>
            <w:tcW w:w="2250" w:type="dxa"/>
            <w:tcBorders>
              <w:bottom w:val="single" w:sz="12" w:space="0" w:color="auto"/>
            </w:tcBorders>
          </w:tcPr>
          <w:p w:rsidR="009166AD" w:rsidRDefault="009166AD" w:rsidP="00646DE4">
            <w:pPr>
              <w:spacing w:after="0" w:line="240" w:lineRule="auto"/>
              <w:jc w:val="center"/>
            </w:pPr>
            <w:r w:rsidRPr="00307DAC">
              <w:t>7205</w:t>
            </w:r>
          </w:p>
        </w:tc>
        <w:tc>
          <w:tcPr>
            <w:tcW w:w="2585" w:type="dxa"/>
            <w:tcBorders>
              <w:bottom w:val="single" w:sz="12" w:space="0" w:color="auto"/>
            </w:tcBorders>
          </w:tcPr>
          <w:p w:rsidR="009166AD" w:rsidRDefault="009166AD" w:rsidP="00646DE4">
            <w:pPr>
              <w:spacing w:after="0" w:line="240" w:lineRule="auto"/>
              <w:jc w:val="center"/>
            </w:pPr>
            <w:r w:rsidRPr="004153A4">
              <w:t>14889</w:t>
            </w:r>
          </w:p>
        </w:tc>
      </w:tr>
    </w:tbl>
    <w:p w:rsidR="009166AD" w:rsidRDefault="009166AD" w:rsidP="009166AD"/>
    <w:p w:rsidR="009166AD" w:rsidRDefault="009166AD" w:rsidP="009166AD">
      <w:r>
        <w:t xml:space="preserve">The different scenarios for interior lighting were evaluated on the underlying samples sizes for each breakdown and for how well the different lamp shapes could be compared to their non-CFL equivalents. Scenario 1 show the most disaggregated set of lamp types, with other scenarios showing various aggregation strategies.  The DEER team decided that since A-lamp and spiral both used A-lamp as the non-CFL equivalents that those two categories could be combined (Scenarios 2 and 3). The small sample sizes for Globe CFLs, along with a hard-to-define non-CFL comparison group, was the deciding factor in combining them into the All Other category. Scenarios 3 and 4 show two aggregation strategies that break out A-lamp and spiral lamps (Scenario 3) and reflector lamps (Scenario 4) from all other lamps.  Reflectors were considered unique in their application, and had large enough sample sizes for both CFLs and non-CFLs that they were assigned their own WRR. Ultimately the DEER team decided upon Scenario 4 for interior lighting analysis. Exterior lighting was assessed across all lamp shapes due to limited sample sizes in the inventory. </w:t>
      </w:r>
      <w:fldSimple w:instr=" REF _Ref307562776 ">
        <w:r>
          <w:t xml:space="preserve">Table </w:t>
        </w:r>
        <w:r>
          <w:rPr>
            <w:noProof/>
          </w:rPr>
          <w:t>3</w:t>
        </w:r>
        <w:r>
          <w:noBreakHyphen/>
        </w:r>
        <w:r>
          <w:rPr>
            <w:noProof/>
          </w:rPr>
          <w:t>2</w:t>
        </w:r>
      </w:fldSimple>
      <w:r>
        <w:t xml:space="preserve"> shows the final wattage reduction ratios calculated using the data set from the 2006-08 evaluation and compares it to the current values in DEER. The DEER team recommends use of the 2011 DEER WRR for estimating energy savings for the three classes of CFLs described in this table.</w:t>
      </w:r>
    </w:p>
    <w:p w:rsidR="009166AD" w:rsidRDefault="009166AD" w:rsidP="009166AD">
      <w:pPr>
        <w:spacing w:after="130"/>
        <w:ind w:left="720" w:hanging="432"/>
      </w:pPr>
      <w:r>
        <w:br w:type="page"/>
      </w:r>
    </w:p>
    <w:p w:rsidR="009166AD" w:rsidRDefault="009166AD" w:rsidP="009166AD">
      <w:pPr>
        <w:pStyle w:val="Caption"/>
      </w:pPr>
      <w:bookmarkStart w:id="1" w:name="_Ref307562776"/>
      <w:r>
        <w:lastRenderedPageBreak/>
        <w:t xml:space="preserve">Table </w:t>
      </w:r>
      <w:fldSimple w:instr=" STYLEREF 1 \s ">
        <w:r>
          <w:rPr>
            <w:noProof/>
          </w:rPr>
          <w:t>3</w:t>
        </w:r>
      </w:fldSimple>
      <w:r>
        <w:noBreakHyphen/>
      </w:r>
      <w:fldSimple w:instr=" SEQ Table \* ARABIC \s 1 ">
        <w:r>
          <w:rPr>
            <w:noProof/>
          </w:rPr>
          <w:t>2</w:t>
        </w:r>
      </w:fldSimple>
      <w:bookmarkEnd w:id="1"/>
      <w:r>
        <w:t>: Wattage Reduction Ratio Recommendations for Short Term Update</w:t>
      </w:r>
    </w:p>
    <w:tbl>
      <w:tblPr>
        <w:tblW w:w="6160" w:type="dxa"/>
        <w:tblInd w:w="234" w:type="dxa"/>
        <w:tblCellMar>
          <w:left w:w="144" w:type="dxa"/>
          <w:right w:w="115" w:type="dxa"/>
        </w:tblCellMar>
        <w:tblLook w:val="00A0"/>
      </w:tblPr>
      <w:tblGrid>
        <w:gridCol w:w="1447"/>
        <w:gridCol w:w="1693"/>
        <w:gridCol w:w="1564"/>
        <w:gridCol w:w="1456"/>
      </w:tblGrid>
      <w:tr w:rsidR="009166AD" w:rsidRPr="00325797" w:rsidTr="00646DE4">
        <w:trPr>
          <w:trHeight w:val="720"/>
        </w:trPr>
        <w:tc>
          <w:tcPr>
            <w:tcW w:w="1447" w:type="dxa"/>
            <w:tcBorders>
              <w:top w:val="single" w:sz="12" w:space="0" w:color="auto"/>
              <w:left w:val="single" w:sz="12" w:space="0" w:color="auto"/>
              <w:bottom w:val="single" w:sz="12" w:space="0" w:color="auto"/>
              <w:right w:val="single" w:sz="4" w:space="0" w:color="auto"/>
            </w:tcBorders>
            <w:shd w:val="pct20" w:color="auto" w:fill="FFFFFF"/>
            <w:vAlign w:val="bottom"/>
          </w:tcPr>
          <w:p w:rsidR="009166AD" w:rsidRPr="002831C4" w:rsidRDefault="009166AD" w:rsidP="00646DE4">
            <w:pPr>
              <w:spacing w:after="0"/>
              <w:jc w:val="center"/>
              <w:rPr>
                <w:b/>
              </w:rPr>
            </w:pPr>
            <w:r w:rsidRPr="002831C4">
              <w:rPr>
                <w:b/>
              </w:rPr>
              <w:t>Location</w:t>
            </w:r>
          </w:p>
        </w:tc>
        <w:tc>
          <w:tcPr>
            <w:tcW w:w="1693" w:type="dxa"/>
            <w:tcBorders>
              <w:top w:val="single" w:sz="12" w:space="0" w:color="auto"/>
              <w:left w:val="nil"/>
              <w:bottom w:val="single" w:sz="12" w:space="0" w:color="auto"/>
              <w:right w:val="single" w:sz="4" w:space="0" w:color="auto"/>
            </w:tcBorders>
            <w:shd w:val="pct20" w:color="auto" w:fill="FFFFFF"/>
            <w:vAlign w:val="bottom"/>
          </w:tcPr>
          <w:p w:rsidR="009166AD" w:rsidRPr="002831C4" w:rsidRDefault="009166AD" w:rsidP="00646DE4">
            <w:pPr>
              <w:spacing w:after="0"/>
              <w:jc w:val="center"/>
              <w:rPr>
                <w:b/>
              </w:rPr>
            </w:pPr>
            <w:r w:rsidRPr="002831C4">
              <w:rPr>
                <w:b/>
              </w:rPr>
              <w:t>Lamp Shape</w:t>
            </w:r>
          </w:p>
        </w:tc>
        <w:tc>
          <w:tcPr>
            <w:tcW w:w="1564" w:type="dxa"/>
            <w:tcBorders>
              <w:top w:val="single" w:sz="12" w:space="0" w:color="auto"/>
              <w:left w:val="nil"/>
              <w:bottom w:val="single" w:sz="12" w:space="0" w:color="auto"/>
              <w:right w:val="single" w:sz="4" w:space="0" w:color="auto"/>
            </w:tcBorders>
            <w:shd w:val="pct20" w:color="auto" w:fill="FFFFFF"/>
            <w:vAlign w:val="bottom"/>
          </w:tcPr>
          <w:p w:rsidR="009166AD" w:rsidRPr="002831C4" w:rsidRDefault="009166AD" w:rsidP="00646DE4">
            <w:pPr>
              <w:spacing w:after="0"/>
              <w:jc w:val="center"/>
              <w:rPr>
                <w:b/>
              </w:rPr>
            </w:pPr>
            <w:r>
              <w:rPr>
                <w:b/>
              </w:rPr>
              <w:t>2011</w:t>
            </w:r>
            <w:r w:rsidRPr="002831C4">
              <w:rPr>
                <w:b/>
              </w:rPr>
              <w:t xml:space="preserve"> DEER WRR</w:t>
            </w:r>
          </w:p>
        </w:tc>
        <w:tc>
          <w:tcPr>
            <w:tcW w:w="1456" w:type="dxa"/>
            <w:tcBorders>
              <w:top w:val="single" w:sz="12" w:space="0" w:color="auto"/>
              <w:left w:val="nil"/>
              <w:bottom w:val="single" w:sz="12" w:space="0" w:color="auto"/>
              <w:right w:val="single" w:sz="12" w:space="0" w:color="auto"/>
            </w:tcBorders>
            <w:shd w:val="pct20" w:color="auto" w:fill="FFFFFF"/>
            <w:vAlign w:val="bottom"/>
          </w:tcPr>
          <w:p w:rsidR="009166AD" w:rsidRPr="002831C4" w:rsidRDefault="009166AD" w:rsidP="00646DE4">
            <w:pPr>
              <w:spacing w:after="0"/>
              <w:jc w:val="center"/>
              <w:rPr>
                <w:b/>
              </w:rPr>
            </w:pPr>
            <w:r w:rsidRPr="002831C4">
              <w:rPr>
                <w:b/>
              </w:rPr>
              <w:t>2008 DEER WRR</w:t>
            </w:r>
          </w:p>
        </w:tc>
      </w:tr>
      <w:tr w:rsidR="009166AD" w:rsidRPr="00325797" w:rsidTr="00646DE4">
        <w:trPr>
          <w:trHeight w:val="330"/>
        </w:trPr>
        <w:tc>
          <w:tcPr>
            <w:tcW w:w="1447" w:type="dxa"/>
            <w:tcBorders>
              <w:top w:val="single" w:sz="12" w:space="0" w:color="auto"/>
              <w:left w:val="single" w:sz="12" w:space="0" w:color="auto"/>
              <w:bottom w:val="single" w:sz="4" w:space="0" w:color="auto"/>
              <w:right w:val="single" w:sz="4" w:space="0" w:color="auto"/>
            </w:tcBorders>
            <w:vAlign w:val="bottom"/>
          </w:tcPr>
          <w:p w:rsidR="009166AD" w:rsidRPr="00325797" w:rsidRDefault="009166AD" w:rsidP="00646DE4">
            <w:pPr>
              <w:spacing w:after="0"/>
              <w:jc w:val="center"/>
            </w:pPr>
            <w:r w:rsidRPr="00325797">
              <w:t>INTERIOR</w:t>
            </w:r>
          </w:p>
        </w:tc>
        <w:tc>
          <w:tcPr>
            <w:tcW w:w="1693" w:type="dxa"/>
            <w:tcBorders>
              <w:top w:val="single" w:sz="12" w:space="0" w:color="auto"/>
              <w:left w:val="nil"/>
              <w:bottom w:val="single" w:sz="4" w:space="0" w:color="auto"/>
              <w:right w:val="single" w:sz="4" w:space="0" w:color="auto"/>
            </w:tcBorders>
            <w:vAlign w:val="bottom"/>
          </w:tcPr>
          <w:p w:rsidR="009166AD" w:rsidRPr="00325797" w:rsidRDefault="009166AD" w:rsidP="00646DE4">
            <w:pPr>
              <w:spacing w:after="0"/>
              <w:jc w:val="center"/>
            </w:pPr>
            <w:r w:rsidRPr="00325797">
              <w:t>REFLECTOR</w:t>
            </w:r>
          </w:p>
        </w:tc>
        <w:tc>
          <w:tcPr>
            <w:tcW w:w="1564" w:type="dxa"/>
            <w:tcBorders>
              <w:top w:val="single" w:sz="12" w:space="0" w:color="auto"/>
              <w:left w:val="nil"/>
              <w:bottom w:val="single" w:sz="4" w:space="0" w:color="auto"/>
              <w:right w:val="single" w:sz="4" w:space="0" w:color="auto"/>
            </w:tcBorders>
            <w:vAlign w:val="bottom"/>
          </w:tcPr>
          <w:p w:rsidR="009166AD" w:rsidRPr="00325797" w:rsidRDefault="009166AD" w:rsidP="00646DE4">
            <w:pPr>
              <w:spacing w:after="0"/>
              <w:jc w:val="center"/>
            </w:pPr>
            <w:r w:rsidRPr="00325797">
              <w:t>4.09</w:t>
            </w:r>
          </w:p>
        </w:tc>
        <w:tc>
          <w:tcPr>
            <w:tcW w:w="1456" w:type="dxa"/>
            <w:tcBorders>
              <w:top w:val="single" w:sz="12" w:space="0" w:color="auto"/>
              <w:left w:val="nil"/>
              <w:bottom w:val="single" w:sz="4" w:space="0" w:color="auto"/>
              <w:right w:val="single" w:sz="12" w:space="0" w:color="auto"/>
            </w:tcBorders>
            <w:vAlign w:val="bottom"/>
          </w:tcPr>
          <w:p w:rsidR="009166AD" w:rsidRPr="00325797" w:rsidRDefault="009166AD" w:rsidP="00646DE4">
            <w:pPr>
              <w:spacing w:after="0"/>
              <w:jc w:val="center"/>
            </w:pPr>
            <w:r w:rsidRPr="00325797">
              <w:t>3.53</w:t>
            </w:r>
          </w:p>
        </w:tc>
      </w:tr>
      <w:tr w:rsidR="009166AD" w:rsidRPr="00325797" w:rsidTr="00646DE4">
        <w:trPr>
          <w:trHeight w:val="330"/>
        </w:trPr>
        <w:tc>
          <w:tcPr>
            <w:tcW w:w="1447" w:type="dxa"/>
            <w:tcBorders>
              <w:top w:val="nil"/>
              <w:left w:val="single" w:sz="12" w:space="0" w:color="auto"/>
              <w:bottom w:val="single" w:sz="4" w:space="0" w:color="auto"/>
              <w:right w:val="single" w:sz="4" w:space="0" w:color="auto"/>
            </w:tcBorders>
            <w:vAlign w:val="bottom"/>
          </w:tcPr>
          <w:p w:rsidR="009166AD" w:rsidRPr="00325797" w:rsidRDefault="009166AD" w:rsidP="00646DE4">
            <w:pPr>
              <w:spacing w:after="0"/>
              <w:jc w:val="center"/>
            </w:pPr>
            <w:r w:rsidRPr="00325797">
              <w:t>INTERIOR</w:t>
            </w:r>
          </w:p>
        </w:tc>
        <w:tc>
          <w:tcPr>
            <w:tcW w:w="1693" w:type="dxa"/>
            <w:tcBorders>
              <w:top w:val="nil"/>
              <w:left w:val="nil"/>
              <w:bottom w:val="single" w:sz="4" w:space="0" w:color="auto"/>
              <w:right w:val="single" w:sz="4" w:space="0" w:color="auto"/>
            </w:tcBorders>
            <w:vAlign w:val="bottom"/>
          </w:tcPr>
          <w:p w:rsidR="009166AD" w:rsidRPr="00325797" w:rsidRDefault="009166AD" w:rsidP="00646DE4">
            <w:pPr>
              <w:spacing w:after="0"/>
              <w:jc w:val="center"/>
            </w:pPr>
            <w:r w:rsidRPr="00325797">
              <w:t>ALL OTHER</w:t>
            </w:r>
          </w:p>
        </w:tc>
        <w:tc>
          <w:tcPr>
            <w:tcW w:w="1564" w:type="dxa"/>
            <w:tcBorders>
              <w:top w:val="nil"/>
              <w:left w:val="nil"/>
              <w:bottom w:val="single" w:sz="4" w:space="0" w:color="auto"/>
              <w:right w:val="single" w:sz="4" w:space="0" w:color="auto"/>
            </w:tcBorders>
            <w:vAlign w:val="bottom"/>
          </w:tcPr>
          <w:p w:rsidR="009166AD" w:rsidRPr="00325797" w:rsidRDefault="009166AD" w:rsidP="00646DE4">
            <w:pPr>
              <w:spacing w:after="0"/>
              <w:jc w:val="center"/>
            </w:pPr>
            <w:r w:rsidRPr="00325797">
              <w:t>3.47</w:t>
            </w:r>
          </w:p>
        </w:tc>
        <w:tc>
          <w:tcPr>
            <w:tcW w:w="1456" w:type="dxa"/>
            <w:tcBorders>
              <w:top w:val="nil"/>
              <w:left w:val="nil"/>
              <w:bottom w:val="single" w:sz="4" w:space="0" w:color="auto"/>
              <w:right w:val="single" w:sz="12" w:space="0" w:color="auto"/>
            </w:tcBorders>
            <w:vAlign w:val="bottom"/>
          </w:tcPr>
          <w:p w:rsidR="009166AD" w:rsidRPr="00325797" w:rsidRDefault="009166AD" w:rsidP="00646DE4">
            <w:pPr>
              <w:spacing w:after="0"/>
              <w:jc w:val="center"/>
            </w:pPr>
            <w:r w:rsidRPr="00325797">
              <w:t>3.53</w:t>
            </w:r>
          </w:p>
        </w:tc>
      </w:tr>
      <w:tr w:rsidR="009166AD" w:rsidRPr="00325797" w:rsidTr="00646DE4">
        <w:trPr>
          <w:trHeight w:val="330"/>
        </w:trPr>
        <w:tc>
          <w:tcPr>
            <w:tcW w:w="1447" w:type="dxa"/>
            <w:tcBorders>
              <w:top w:val="nil"/>
              <w:left w:val="single" w:sz="12" w:space="0" w:color="auto"/>
              <w:bottom w:val="single" w:sz="12" w:space="0" w:color="auto"/>
              <w:right w:val="single" w:sz="4" w:space="0" w:color="auto"/>
            </w:tcBorders>
            <w:vAlign w:val="bottom"/>
          </w:tcPr>
          <w:p w:rsidR="009166AD" w:rsidRPr="00325797" w:rsidRDefault="009166AD" w:rsidP="00646DE4">
            <w:pPr>
              <w:spacing w:after="0"/>
              <w:jc w:val="center"/>
            </w:pPr>
            <w:r w:rsidRPr="00325797">
              <w:t>EXTERIOR</w:t>
            </w:r>
          </w:p>
        </w:tc>
        <w:tc>
          <w:tcPr>
            <w:tcW w:w="1693" w:type="dxa"/>
            <w:tcBorders>
              <w:top w:val="nil"/>
              <w:left w:val="nil"/>
              <w:bottom w:val="single" w:sz="12" w:space="0" w:color="auto"/>
              <w:right w:val="single" w:sz="4" w:space="0" w:color="auto"/>
            </w:tcBorders>
            <w:vAlign w:val="bottom"/>
          </w:tcPr>
          <w:p w:rsidR="009166AD" w:rsidRPr="00325797" w:rsidRDefault="009166AD" w:rsidP="00646DE4">
            <w:pPr>
              <w:spacing w:after="0"/>
              <w:jc w:val="center"/>
            </w:pPr>
            <w:r w:rsidRPr="00325797">
              <w:t>All</w:t>
            </w:r>
          </w:p>
        </w:tc>
        <w:tc>
          <w:tcPr>
            <w:tcW w:w="1564" w:type="dxa"/>
            <w:tcBorders>
              <w:top w:val="nil"/>
              <w:left w:val="nil"/>
              <w:bottom w:val="single" w:sz="12" w:space="0" w:color="auto"/>
              <w:right w:val="single" w:sz="4" w:space="0" w:color="auto"/>
            </w:tcBorders>
            <w:vAlign w:val="bottom"/>
          </w:tcPr>
          <w:p w:rsidR="009166AD" w:rsidRPr="00325797" w:rsidRDefault="009166AD" w:rsidP="00646DE4">
            <w:pPr>
              <w:spacing w:after="0"/>
              <w:jc w:val="center"/>
            </w:pPr>
            <w:r w:rsidRPr="00325797">
              <w:t>4.07</w:t>
            </w:r>
          </w:p>
        </w:tc>
        <w:tc>
          <w:tcPr>
            <w:tcW w:w="1456" w:type="dxa"/>
            <w:tcBorders>
              <w:top w:val="nil"/>
              <w:left w:val="nil"/>
              <w:bottom w:val="single" w:sz="12" w:space="0" w:color="auto"/>
              <w:right w:val="single" w:sz="12" w:space="0" w:color="auto"/>
            </w:tcBorders>
            <w:vAlign w:val="bottom"/>
          </w:tcPr>
          <w:p w:rsidR="009166AD" w:rsidRPr="00325797" w:rsidRDefault="009166AD" w:rsidP="00646DE4">
            <w:pPr>
              <w:spacing w:after="0"/>
              <w:jc w:val="center"/>
            </w:pPr>
            <w:r w:rsidRPr="00325797">
              <w:t>3.53</w:t>
            </w:r>
          </w:p>
        </w:tc>
      </w:tr>
    </w:tbl>
    <w:p w:rsidR="009166AD" w:rsidRDefault="009166AD" w:rsidP="009166AD">
      <w:pPr>
        <w:pStyle w:val="Heading2"/>
        <w:numPr>
          <w:ilvl w:val="1"/>
          <w:numId w:val="1"/>
        </w:numPr>
        <w:jc w:val="both"/>
      </w:pPr>
      <w:r>
        <w:t>Hours-of-Use Profile Estimates</w:t>
      </w:r>
    </w:p>
    <w:p w:rsidR="009166AD" w:rsidRDefault="009166AD" w:rsidP="009166AD">
      <w:r>
        <w:t>The DEER team developed projections of lighting profiles for years 2012 through 2014.  The lighting profiles were estimated using the CPUC 2006-2008 evaluation data and models as a starting point and then adjusted these estimates with projected increments in CFL saturations for the years of interest (2010-2014).  The DEER team estimated saturation increments, by updating the Installation Analysis, which was previously constructed for the 2006-2008 evaluation report (KEMA 2010b) and updated for 2009.  Finally the DEER team estimated hourly lighting profiles by several levels of aggregation, including IOU, lamp type, dwelling unit type, space type, and by variables indicating different parts of a year.</w:t>
      </w:r>
    </w:p>
    <w:p w:rsidR="009166AD" w:rsidRDefault="009166AD" w:rsidP="009166AD">
      <w:pPr>
        <w:pStyle w:val="Heading3"/>
        <w:numPr>
          <w:ilvl w:val="2"/>
          <w:numId w:val="1"/>
        </w:numPr>
        <w:jc w:val="both"/>
      </w:pPr>
      <w:r>
        <w:t>Installation Analysis and Saturation Increment</w:t>
      </w:r>
    </w:p>
    <w:p w:rsidR="009166AD" w:rsidRDefault="009166AD" w:rsidP="009166AD">
      <w:r>
        <w:t xml:space="preserve">Underlying the projections of lighting profiles are changes in saturation of CFLs for the years of interest.  To estimate the saturation increment, we extended the installation analysis that was conducted for the 2006-2008 evaluation report and later updated for 2009.  In particular, </w:t>
      </w:r>
      <w:r w:rsidR="000970B0">
        <w:t>we</w:t>
      </w:r>
      <w:r>
        <w:t xml:space="preserve"> updated two key input variables: the number of program bulbs shipped and the number of residential households in the IOUs’</w:t>
      </w:r>
      <w:r w:rsidRPr="0016531D">
        <w:t xml:space="preserve"> </w:t>
      </w:r>
      <w:r>
        <w:t>service territory.  Extending the analysis forward through 2014 produced estimates of number of bulbs in sockets per home for each year (saturation).</w:t>
      </w:r>
    </w:p>
    <w:p w:rsidR="009166AD" w:rsidRDefault="009166AD" w:rsidP="009166AD">
      <w:r>
        <w:t xml:space="preserve">We obtained information on the number of program bulbs shipped each year from IOU tracking data.  We gathered information on the number of bulbs shipped from 2004 through 2010, as shown in </w:t>
      </w:r>
      <w:r w:rsidR="006A387D">
        <w:fldChar w:fldCharType="begin"/>
      </w:r>
      <w:r w:rsidR="00E56B8B">
        <w:instrText xml:space="preserve"> REF _Ref308513460 \h </w:instrText>
      </w:r>
      <w:r w:rsidR="006A387D">
        <w:fldChar w:fldCharType="separate"/>
      </w:r>
      <w:r w:rsidR="00E56B8B">
        <w:t xml:space="preserve">Table </w:t>
      </w:r>
      <w:r w:rsidR="00E56B8B">
        <w:rPr>
          <w:noProof/>
        </w:rPr>
        <w:t>3</w:t>
      </w:r>
      <w:r w:rsidR="00E56B8B">
        <w:noBreakHyphen/>
      </w:r>
      <w:r w:rsidR="00E56B8B">
        <w:rPr>
          <w:noProof/>
        </w:rPr>
        <w:t>3</w:t>
      </w:r>
      <w:r w:rsidR="006A387D">
        <w:fldChar w:fldCharType="end"/>
      </w:r>
      <w:r>
        <w:t>. (Note that figures for 2010 do not include deferred installations.)  To estimate projected shipments</w:t>
      </w:r>
      <w:r w:rsidRPr="0016531D">
        <w:t xml:space="preserve"> </w:t>
      </w:r>
      <w:r>
        <w:t>for 2011 through 2014 (shaded in grey), we used two scenarios:</w:t>
      </w:r>
    </w:p>
    <w:p w:rsidR="009166AD" w:rsidRDefault="009166AD" w:rsidP="009166AD">
      <w:pPr>
        <w:pStyle w:val="ListParagraph"/>
      </w:pPr>
      <w:r w:rsidRPr="0059621B">
        <w:rPr>
          <w:b/>
        </w:rPr>
        <w:t>Constant</w:t>
      </w:r>
      <w:r>
        <w:t>: Assume that 2011-2014 shipments will be the same as 2010.</w:t>
      </w:r>
    </w:p>
    <w:p w:rsidR="009166AD" w:rsidRDefault="009166AD" w:rsidP="009166AD">
      <w:pPr>
        <w:pStyle w:val="ListParagraph"/>
      </w:pPr>
      <w:r w:rsidRPr="0059621B">
        <w:rPr>
          <w:b/>
        </w:rPr>
        <w:t>Half</w:t>
      </w:r>
      <w:r>
        <w:t>: Assume that 2011 will have the same amount of shipments as 2010, but that shipments will be half of that number from 2012 through 2014.</w:t>
      </w:r>
    </w:p>
    <w:p w:rsidR="009166AD" w:rsidRDefault="009166AD" w:rsidP="009166AD">
      <w:pPr>
        <w:pStyle w:val="ListParagraph"/>
      </w:pPr>
    </w:p>
    <w:p w:rsidR="009166AD" w:rsidRDefault="009166AD" w:rsidP="009166AD">
      <w:pPr>
        <w:pStyle w:val="Caption"/>
      </w:pPr>
      <w:bookmarkStart w:id="2" w:name="_Ref308513460"/>
      <w:bookmarkStart w:id="3" w:name="_Ref305402684"/>
      <w:r>
        <w:lastRenderedPageBreak/>
        <w:t xml:space="preserve">Table </w:t>
      </w:r>
      <w:fldSimple w:instr=" STYLEREF 1 \s ">
        <w:r>
          <w:rPr>
            <w:noProof/>
          </w:rPr>
          <w:t>3</w:t>
        </w:r>
      </w:fldSimple>
      <w:r>
        <w:noBreakHyphen/>
      </w:r>
      <w:fldSimple w:instr=" SEQ Table \* ARABIC \s 1 ">
        <w:r>
          <w:rPr>
            <w:noProof/>
          </w:rPr>
          <w:t>3</w:t>
        </w:r>
      </w:fldSimple>
      <w:bookmarkEnd w:id="2"/>
      <w:r>
        <w:t xml:space="preserve">: </w:t>
      </w:r>
      <w:bookmarkEnd w:id="3"/>
      <w:r>
        <w:t>Program Bulbs Shipped by IOU (in millions)</w:t>
      </w:r>
    </w:p>
    <w:tbl>
      <w:tblPr>
        <w:tblW w:w="8820" w:type="dxa"/>
        <w:tblInd w:w="108" w:type="dxa"/>
        <w:tblLayout w:type="fixed"/>
        <w:tblLook w:val="00A0"/>
      </w:tblPr>
      <w:tblGrid>
        <w:gridCol w:w="855"/>
        <w:gridCol w:w="51"/>
        <w:gridCol w:w="849"/>
        <w:gridCol w:w="585"/>
        <w:gridCol w:w="630"/>
        <w:gridCol w:w="603"/>
        <w:gridCol w:w="594"/>
        <w:gridCol w:w="630"/>
        <w:gridCol w:w="630"/>
        <w:gridCol w:w="666"/>
        <w:gridCol w:w="729"/>
        <w:gridCol w:w="765"/>
        <w:gridCol w:w="585"/>
        <w:gridCol w:w="648"/>
      </w:tblGrid>
      <w:tr w:rsidR="009166AD" w:rsidRPr="0048391A" w:rsidTr="00646DE4">
        <w:trPr>
          <w:trHeight w:val="300"/>
        </w:trPr>
        <w:tc>
          <w:tcPr>
            <w:tcW w:w="906" w:type="dxa"/>
            <w:gridSpan w:val="2"/>
            <w:tcBorders>
              <w:top w:val="nil"/>
              <w:left w:val="nil"/>
              <w:bottom w:val="nil"/>
              <w:right w:val="nil"/>
            </w:tcBorders>
            <w:noWrap/>
            <w:vAlign w:val="center"/>
          </w:tcPr>
          <w:p w:rsidR="009166AD" w:rsidRPr="0048391A" w:rsidRDefault="009166AD" w:rsidP="00646DE4">
            <w:pPr>
              <w:rPr>
                <w:sz w:val="20"/>
                <w:szCs w:val="20"/>
              </w:rPr>
            </w:pPr>
          </w:p>
        </w:tc>
        <w:tc>
          <w:tcPr>
            <w:tcW w:w="849" w:type="dxa"/>
            <w:tcBorders>
              <w:top w:val="nil"/>
              <w:left w:val="nil"/>
              <w:bottom w:val="nil"/>
              <w:right w:val="single" w:sz="12" w:space="0" w:color="auto"/>
            </w:tcBorders>
            <w:noWrap/>
            <w:vAlign w:val="center"/>
          </w:tcPr>
          <w:p w:rsidR="009166AD" w:rsidRPr="0048391A" w:rsidRDefault="009166AD" w:rsidP="00646DE4">
            <w:pPr>
              <w:rPr>
                <w:sz w:val="20"/>
                <w:szCs w:val="20"/>
              </w:rPr>
            </w:pPr>
          </w:p>
        </w:tc>
        <w:tc>
          <w:tcPr>
            <w:tcW w:w="7065" w:type="dxa"/>
            <w:gridSpan w:val="11"/>
            <w:tcBorders>
              <w:top w:val="single" w:sz="12" w:space="0" w:color="auto"/>
              <w:left w:val="single" w:sz="12" w:space="0" w:color="auto"/>
              <w:bottom w:val="single" w:sz="8" w:space="0" w:color="auto"/>
              <w:right w:val="single" w:sz="12" w:space="0" w:color="auto"/>
            </w:tcBorders>
            <w:noWrap/>
            <w:vAlign w:val="center"/>
          </w:tcPr>
          <w:p w:rsidR="009166AD" w:rsidRPr="0048391A" w:rsidRDefault="009166AD" w:rsidP="00646DE4">
            <w:pPr>
              <w:rPr>
                <w:b/>
                <w:sz w:val="20"/>
                <w:szCs w:val="20"/>
              </w:rPr>
            </w:pPr>
            <w:r w:rsidRPr="0048391A">
              <w:rPr>
                <w:b/>
                <w:sz w:val="20"/>
                <w:szCs w:val="20"/>
              </w:rPr>
              <w:t>Shipments per Year (in Millions)</w:t>
            </w:r>
          </w:p>
        </w:tc>
      </w:tr>
      <w:tr w:rsidR="009166AD" w:rsidRPr="0048391A" w:rsidTr="00646DE4">
        <w:trPr>
          <w:trHeight w:val="300"/>
        </w:trPr>
        <w:tc>
          <w:tcPr>
            <w:tcW w:w="906" w:type="dxa"/>
            <w:gridSpan w:val="2"/>
            <w:tcBorders>
              <w:top w:val="nil"/>
              <w:left w:val="nil"/>
              <w:bottom w:val="single" w:sz="12" w:space="0" w:color="auto"/>
              <w:right w:val="nil"/>
            </w:tcBorders>
            <w:noWrap/>
            <w:vAlign w:val="center"/>
          </w:tcPr>
          <w:p w:rsidR="009166AD" w:rsidRPr="0048391A" w:rsidRDefault="009166AD" w:rsidP="00646DE4">
            <w:pPr>
              <w:rPr>
                <w:sz w:val="20"/>
                <w:szCs w:val="20"/>
              </w:rPr>
            </w:pPr>
          </w:p>
        </w:tc>
        <w:tc>
          <w:tcPr>
            <w:tcW w:w="849" w:type="dxa"/>
            <w:tcBorders>
              <w:top w:val="nil"/>
              <w:left w:val="nil"/>
              <w:bottom w:val="single" w:sz="12" w:space="0" w:color="auto"/>
              <w:right w:val="single" w:sz="12" w:space="0" w:color="auto"/>
            </w:tcBorders>
            <w:noWrap/>
            <w:vAlign w:val="center"/>
          </w:tcPr>
          <w:p w:rsidR="009166AD" w:rsidRPr="0048391A" w:rsidRDefault="009166AD" w:rsidP="00646DE4">
            <w:pPr>
              <w:rPr>
                <w:sz w:val="20"/>
                <w:szCs w:val="20"/>
              </w:rPr>
            </w:pPr>
          </w:p>
        </w:tc>
        <w:tc>
          <w:tcPr>
            <w:tcW w:w="4338" w:type="dxa"/>
            <w:gridSpan w:val="7"/>
            <w:tcBorders>
              <w:top w:val="single" w:sz="8" w:space="0" w:color="auto"/>
              <w:left w:val="single" w:sz="12" w:space="0" w:color="auto"/>
              <w:bottom w:val="single" w:sz="12" w:space="0" w:color="auto"/>
              <w:right w:val="single" w:sz="4" w:space="0" w:color="000000"/>
            </w:tcBorders>
            <w:noWrap/>
            <w:vAlign w:val="center"/>
          </w:tcPr>
          <w:p w:rsidR="009166AD" w:rsidRPr="0048391A" w:rsidRDefault="009166AD" w:rsidP="00646DE4">
            <w:pPr>
              <w:rPr>
                <w:b/>
                <w:sz w:val="20"/>
                <w:szCs w:val="20"/>
              </w:rPr>
            </w:pPr>
            <w:r w:rsidRPr="0048391A">
              <w:rPr>
                <w:b/>
                <w:sz w:val="20"/>
                <w:szCs w:val="20"/>
              </w:rPr>
              <w:t>Actual</w:t>
            </w:r>
          </w:p>
        </w:tc>
        <w:tc>
          <w:tcPr>
            <w:tcW w:w="2727" w:type="dxa"/>
            <w:gridSpan w:val="4"/>
            <w:tcBorders>
              <w:top w:val="single" w:sz="8" w:space="0" w:color="auto"/>
              <w:left w:val="nil"/>
              <w:bottom w:val="single" w:sz="12" w:space="0" w:color="auto"/>
              <w:right w:val="single" w:sz="12" w:space="0" w:color="auto"/>
            </w:tcBorders>
            <w:shd w:val="clear" w:color="000000" w:fill="D8D8D8"/>
            <w:noWrap/>
            <w:vAlign w:val="center"/>
          </w:tcPr>
          <w:p w:rsidR="009166AD" w:rsidRPr="0048391A" w:rsidRDefault="009166AD" w:rsidP="00646DE4">
            <w:pPr>
              <w:rPr>
                <w:b/>
                <w:sz w:val="20"/>
                <w:szCs w:val="20"/>
              </w:rPr>
            </w:pPr>
            <w:r w:rsidRPr="0048391A">
              <w:rPr>
                <w:b/>
                <w:sz w:val="20"/>
                <w:szCs w:val="20"/>
              </w:rPr>
              <w:t>Projected</w:t>
            </w:r>
          </w:p>
        </w:tc>
      </w:tr>
      <w:tr w:rsidR="009166AD" w:rsidRPr="0048391A" w:rsidTr="00646DE4">
        <w:trPr>
          <w:trHeight w:val="300"/>
        </w:trPr>
        <w:tc>
          <w:tcPr>
            <w:tcW w:w="855" w:type="dxa"/>
            <w:tcBorders>
              <w:top w:val="single" w:sz="12" w:space="0" w:color="auto"/>
              <w:left w:val="single" w:sz="12" w:space="0" w:color="auto"/>
              <w:bottom w:val="single" w:sz="4" w:space="0" w:color="auto"/>
              <w:right w:val="single" w:sz="4" w:space="0" w:color="auto"/>
            </w:tcBorders>
            <w:noWrap/>
            <w:vAlign w:val="center"/>
          </w:tcPr>
          <w:p w:rsidR="009166AD" w:rsidRPr="0048391A" w:rsidRDefault="009166AD" w:rsidP="00646DE4">
            <w:pPr>
              <w:rPr>
                <w:sz w:val="18"/>
                <w:szCs w:val="18"/>
              </w:rPr>
            </w:pPr>
            <w:r w:rsidRPr="0048391A">
              <w:rPr>
                <w:sz w:val="18"/>
                <w:szCs w:val="18"/>
              </w:rPr>
              <w:t>IOU</w:t>
            </w:r>
          </w:p>
        </w:tc>
        <w:tc>
          <w:tcPr>
            <w:tcW w:w="900" w:type="dxa"/>
            <w:gridSpan w:val="2"/>
            <w:tcBorders>
              <w:top w:val="single" w:sz="12" w:space="0" w:color="auto"/>
              <w:left w:val="nil"/>
              <w:bottom w:val="single" w:sz="4" w:space="0" w:color="auto"/>
              <w:right w:val="single" w:sz="4" w:space="0" w:color="auto"/>
            </w:tcBorders>
            <w:noWrap/>
            <w:vAlign w:val="center"/>
          </w:tcPr>
          <w:p w:rsidR="009166AD" w:rsidRPr="0048391A" w:rsidRDefault="009166AD" w:rsidP="00646DE4">
            <w:pPr>
              <w:rPr>
                <w:sz w:val="18"/>
                <w:szCs w:val="18"/>
              </w:rPr>
            </w:pPr>
            <w:r w:rsidRPr="0048391A">
              <w:rPr>
                <w:sz w:val="18"/>
                <w:szCs w:val="18"/>
              </w:rPr>
              <w:t>Scenario</w:t>
            </w:r>
          </w:p>
        </w:tc>
        <w:tc>
          <w:tcPr>
            <w:tcW w:w="585" w:type="dxa"/>
            <w:tcBorders>
              <w:top w:val="single" w:sz="12"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2004</w:t>
            </w:r>
          </w:p>
        </w:tc>
        <w:tc>
          <w:tcPr>
            <w:tcW w:w="630" w:type="dxa"/>
            <w:tcBorders>
              <w:top w:val="single" w:sz="12"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2005</w:t>
            </w:r>
          </w:p>
        </w:tc>
        <w:tc>
          <w:tcPr>
            <w:tcW w:w="603" w:type="dxa"/>
            <w:tcBorders>
              <w:top w:val="single" w:sz="12"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2006</w:t>
            </w:r>
          </w:p>
        </w:tc>
        <w:tc>
          <w:tcPr>
            <w:tcW w:w="594" w:type="dxa"/>
            <w:tcBorders>
              <w:top w:val="single" w:sz="12"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2007</w:t>
            </w:r>
          </w:p>
        </w:tc>
        <w:tc>
          <w:tcPr>
            <w:tcW w:w="630" w:type="dxa"/>
            <w:tcBorders>
              <w:top w:val="single" w:sz="12"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2008</w:t>
            </w:r>
          </w:p>
        </w:tc>
        <w:tc>
          <w:tcPr>
            <w:tcW w:w="630" w:type="dxa"/>
            <w:tcBorders>
              <w:top w:val="single" w:sz="12"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2009</w:t>
            </w:r>
          </w:p>
        </w:tc>
        <w:tc>
          <w:tcPr>
            <w:tcW w:w="666" w:type="dxa"/>
            <w:tcBorders>
              <w:top w:val="single" w:sz="12"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2010</w:t>
            </w:r>
          </w:p>
        </w:tc>
        <w:tc>
          <w:tcPr>
            <w:tcW w:w="729" w:type="dxa"/>
            <w:tcBorders>
              <w:top w:val="single" w:sz="12"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2011</w:t>
            </w:r>
          </w:p>
        </w:tc>
        <w:tc>
          <w:tcPr>
            <w:tcW w:w="765" w:type="dxa"/>
            <w:tcBorders>
              <w:top w:val="single" w:sz="12"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2012</w:t>
            </w:r>
          </w:p>
        </w:tc>
        <w:tc>
          <w:tcPr>
            <w:tcW w:w="585" w:type="dxa"/>
            <w:tcBorders>
              <w:top w:val="single" w:sz="12"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2013</w:t>
            </w:r>
          </w:p>
        </w:tc>
        <w:tc>
          <w:tcPr>
            <w:tcW w:w="648" w:type="dxa"/>
            <w:tcBorders>
              <w:top w:val="single" w:sz="12" w:space="0" w:color="auto"/>
              <w:left w:val="nil"/>
              <w:bottom w:val="single" w:sz="4" w:space="0" w:color="auto"/>
              <w:right w:val="single" w:sz="12"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2014</w:t>
            </w:r>
          </w:p>
        </w:tc>
      </w:tr>
      <w:tr w:rsidR="009166AD" w:rsidRPr="0048391A" w:rsidTr="00646DE4">
        <w:trPr>
          <w:trHeight w:val="300"/>
        </w:trPr>
        <w:tc>
          <w:tcPr>
            <w:tcW w:w="855" w:type="dxa"/>
            <w:vMerge w:val="restart"/>
            <w:tcBorders>
              <w:top w:val="single" w:sz="4" w:space="0" w:color="auto"/>
              <w:left w:val="single" w:sz="12" w:space="0" w:color="auto"/>
              <w:bottom w:val="single" w:sz="4" w:space="0" w:color="auto"/>
              <w:right w:val="single" w:sz="4" w:space="0" w:color="auto"/>
            </w:tcBorders>
            <w:noWrap/>
            <w:vAlign w:val="center"/>
          </w:tcPr>
          <w:p w:rsidR="009166AD" w:rsidRPr="0048391A" w:rsidRDefault="009166AD" w:rsidP="00646DE4">
            <w:pPr>
              <w:rPr>
                <w:sz w:val="18"/>
                <w:szCs w:val="18"/>
              </w:rPr>
            </w:pPr>
            <w:r w:rsidRPr="0048391A">
              <w:rPr>
                <w:sz w:val="18"/>
                <w:szCs w:val="18"/>
              </w:rPr>
              <w:t>Overall</w:t>
            </w:r>
          </w:p>
        </w:tc>
        <w:tc>
          <w:tcPr>
            <w:tcW w:w="900" w:type="dxa"/>
            <w:gridSpan w:val="2"/>
            <w:tcBorders>
              <w:top w:val="single" w:sz="4" w:space="0" w:color="auto"/>
              <w:left w:val="nil"/>
              <w:bottom w:val="single" w:sz="4" w:space="0" w:color="auto"/>
              <w:right w:val="single" w:sz="4" w:space="0" w:color="auto"/>
            </w:tcBorders>
            <w:noWrap/>
            <w:vAlign w:val="center"/>
          </w:tcPr>
          <w:p w:rsidR="009166AD" w:rsidRPr="0048391A" w:rsidRDefault="009166AD" w:rsidP="00646DE4">
            <w:pPr>
              <w:rPr>
                <w:sz w:val="18"/>
                <w:szCs w:val="18"/>
              </w:rPr>
            </w:pPr>
            <w:r w:rsidRPr="0048391A">
              <w:rPr>
                <w:sz w:val="18"/>
                <w:szCs w:val="18"/>
              </w:rPr>
              <w:t>Constant</w:t>
            </w:r>
          </w:p>
        </w:tc>
        <w:tc>
          <w:tcPr>
            <w:tcW w:w="585"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10.0</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10.0</w:t>
            </w:r>
          </w:p>
        </w:tc>
        <w:tc>
          <w:tcPr>
            <w:tcW w:w="603"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14.8</w:t>
            </w:r>
          </w:p>
        </w:tc>
        <w:tc>
          <w:tcPr>
            <w:tcW w:w="594"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38.4</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43.6</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11.8</w:t>
            </w:r>
          </w:p>
        </w:tc>
        <w:tc>
          <w:tcPr>
            <w:tcW w:w="666"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28.6</w:t>
            </w:r>
          </w:p>
        </w:tc>
        <w:tc>
          <w:tcPr>
            <w:tcW w:w="729"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28.6</w:t>
            </w:r>
          </w:p>
        </w:tc>
        <w:tc>
          <w:tcPr>
            <w:tcW w:w="765"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28.6</w:t>
            </w:r>
          </w:p>
        </w:tc>
        <w:tc>
          <w:tcPr>
            <w:tcW w:w="585"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28.6</w:t>
            </w:r>
          </w:p>
        </w:tc>
        <w:tc>
          <w:tcPr>
            <w:tcW w:w="648" w:type="dxa"/>
            <w:tcBorders>
              <w:top w:val="single" w:sz="4" w:space="0" w:color="auto"/>
              <w:left w:val="nil"/>
              <w:bottom w:val="single" w:sz="4" w:space="0" w:color="auto"/>
              <w:right w:val="single" w:sz="12"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28.6</w:t>
            </w:r>
          </w:p>
        </w:tc>
      </w:tr>
      <w:tr w:rsidR="009166AD" w:rsidRPr="0048391A" w:rsidTr="00646DE4">
        <w:trPr>
          <w:trHeight w:val="300"/>
        </w:trPr>
        <w:tc>
          <w:tcPr>
            <w:tcW w:w="855" w:type="dxa"/>
            <w:vMerge/>
            <w:tcBorders>
              <w:top w:val="single" w:sz="4" w:space="0" w:color="auto"/>
              <w:left w:val="single" w:sz="12" w:space="0" w:color="auto"/>
              <w:bottom w:val="single" w:sz="4" w:space="0" w:color="auto"/>
              <w:right w:val="single" w:sz="4" w:space="0" w:color="auto"/>
            </w:tcBorders>
            <w:vAlign w:val="center"/>
          </w:tcPr>
          <w:p w:rsidR="009166AD" w:rsidRPr="0048391A" w:rsidRDefault="009166AD" w:rsidP="00646DE4">
            <w:pPr>
              <w:rPr>
                <w:sz w:val="18"/>
                <w:szCs w:val="18"/>
              </w:rPr>
            </w:pPr>
          </w:p>
        </w:tc>
        <w:tc>
          <w:tcPr>
            <w:tcW w:w="900" w:type="dxa"/>
            <w:gridSpan w:val="2"/>
            <w:tcBorders>
              <w:top w:val="single" w:sz="4" w:space="0" w:color="auto"/>
              <w:left w:val="nil"/>
              <w:bottom w:val="single" w:sz="4" w:space="0" w:color="auto"/>
              <w:right w:val="single" w:sz="4" w:space="0" w:color="auto"/>
            </w:tcBorders>
            <w:noWrap/>
            <w:vAlign w:val="center"/>
          </w:tcPr>
          <w:p w:rsidR="009166AD" w:rsidRPr="0048391A" w:rsidRDefault="009166AD" w:rsidP="00646DE4">
            <w:pPr>
              <w:rPr>
                <w:sz w:val="18"/>
                <w:szCs w:val="18"/>
              </w:rPr>
            </w:pPr>
            <w:r w:rsidRPr="0048391A">
              <w:rPr>
                <w:sz w:val="18"/>
                <w:szCs w:val="18"/>
              </w:rPr>
              <w:t>Half</w:t>
            </w:r>
          </w:p>
        </w:tc>
        <w:tc>
          <w:tcPr>
            <w:tcW w:w="585"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10.0</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10.0</w:t>
            </w:r>
          </w:p>
        </w:tc>
        <w:tc>
          <w:tcPr>
            <w:tcW w:w="603"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14.8</w:t>
            </w:r>
          </w:p>
        </w:tc>
        <w:tc>
          <w:tcPr>
            <w:tcW w:w="594"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38.4</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43.6</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11.8</w:t>
            </w:r>
          </w:p>
        </w:tc>
        <w:tc>
          <w:tcPr>
            <w:tcW w:w="666"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28.6</w:t>
            </w:r>
          </w:p>
        </w:tc>
        <w:tc>
          <w:tcPr>
            <w:tcW w:w="729"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28.6</w:t>
            </w:r>
          </w:p>
        </w:tc>
        <w:tc>
          <w:tcPr>
            <w:tcW w:w="765"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14.3</w:t>
            </w:r>
          </w:p>
        </w:tc>
        <w:tc>
          <w:tcPr>
            <w:tcW w:w="585"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14.3</w:t>
            </w:r>
          </w:p>
        </w:tc>
        <w:tc>
          <w:tcPr>
            <w:tcW w:w="648" w:type="dxa"/>
            <w:tcBorders>
              <w:top w:val="single" w:sz="4" w:space="0" w:color="auto"/>
              <w:left w:val="nil"/>
              <w:bottom w:val="single" w:sz="4" w:space="0" w:color="auto"/>
              <w:right w:val="single" w:sz="12"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14.3</w:t>
            </w:r>
          </w:p>
        </w:tc>
      </w:tr>
      <w:tr w:rsidR="009166AD" w:rsidRPr="0048391A" w:rsidTr="00646DE4">
        <w:trPr>
          <w:trHeight w:val="300"/>
        </w:trPr>
        <w:tc>
          <w:tcPr>
            <w:tcW w:w="855" w:type="dxa"/>
            <w:vMerge w:val="restart"/>
            <w:tcBorders>
              <w:top w:val="single" w:sz="4" w:space="0" w:color="auto"/>
              <w:left w:val="single" w:sz="12" w:space="0" w:color="auto"/>
              <w:bottom w:val="single" w:sz="4" w:space="0" w:color="auto"/>
              <w:right w:val="single" w:sz="4" w:space="0" w:color="auto"/>
            </w:tcBorders>
            <w:noWrap/>
            <w:vAlign w:val="center"/>
          </w:tcPr>
          <w:p w:rsidR="009166AD" w:rsidRPr="0048391A" w:rsidRDefault="009166AD" w:rsidP="00646DE4">
            <w:pPr>
              <w:rPr>
                <w:sz w:val="18"/>
                <w:szCs w:val="18"/>
              </w:rPr>
            </w:pPr>
            <w:r w:rsidRPr="0048391A">
              <w:rPr>
                <w:sz w:val="18"/>
                <w:szCs w:val="18"/>
              </w:rPr>
              <w:t>PG&amp;E</w:t>
            </w:r>
          </w:p>
        </w:tc>
        <w:tc>
          <w:tcPr>
            <w:tcW w:w="900" w:type="dxa"/>
            <w:gridSpan w:val="2"/>
            <w:tcBorders>
              <w:top w:val="single" w:sz="4" w:space="0" w:color="auto"/>
              <w:left w:val="nil"/>
              <w:bottom w:val="single" w:sz="4" w:space="0" w:color="auto"/>
              <w:right w:val="single" w:sz="4" w:space="0" w:color="auto"/>
            </w:tcBorders>
            <w:noWrap/>
            <w:vAlign w:val="center"/>
          </w:tcPr>
          <w:p w:rsidR="009166AD" w:rsidRPr="0048391A" w:rsidRDefault="009166AD" w:rsidP="00646DE4">
            <w:pPr>
              <w:rPr>
                <w:sz w:val="18"/>
                <w:szCs w:val="18"/>
              </w:rPr>
            </w:pPr>
            <w:r w:rsidRPr="0048391A">
              <w:rPr>
                <w:sz w:val="18"/>
                <w:szCs w:val="18"/>
              </w:rPr>
              <w:t>Constant</w:t>
            </w:r>
          </w:p>
        </w:tc>
        <w:tc>
          <w:tcPr>
            <w:tcW w:w="585"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4.1</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4.1</w:t>
            </w:r>
          </w:p>
        </w:tc>
        <w:tc>
          <w:tcPr>
            <w:tcW w:w="603"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7.6</w:t>
            </w:r>
          </w:p>
        </w:tc>
        <w:tc>
          <w:tcPr>
            <w:tcW w:w="594"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19.2</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26.2</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6.0</w:t>
            </w:r>
          </w:p>
        </w:tc>
        <w:tc>
          <w:tcPr>
            <w:tcW w:w="666"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11.2</w:t>
            </w:r>
          </w:p>
        </w:tc>
        <w:tc>
          <w:tcPr>
            <w:tcW w:w="729"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11.2</w:t>
            </w:r>
          </w:p>
        </w:tc>
        <w:tc>
          <w:tcPr>
            <w:tcW w:w="765"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11.2</w:t>
            </w:r>
          </w:p>
        </w:tc>
        <w:tc>
          <w:tcPr>
            <w:tcW w:w="585"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11.2</w:t>
            </w:r>
          </w:p>
        </w:tc>
        <w:tc>
          <w:tcPr>
            <w:tcW w:w="648" w:type="dxa"/>
            <w:tcBorders>
              <w:top w:val="single" w:sz="4" w:space="0" w:color="auto"/>
              <w:left w:val="nil"/>
              <w:bottom w:val="single" w:sz="4" w:space="0" w:color="auto"/>
              <w:right w:val="single" w:sz="12"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11.2</w:t>
            </w:r>
          </w:p>
        </w:tc>
      </w:tr>
      <w:tr w:rsidR="009166AD" w:rsidRPr="0048391A" w:rsidTr="00646DE4">
        <w:trPr>
          <w:trHeight w:val="300"/>
        </w:trPr>
        <w:tc>
          <w:tcPr>
            <w:tcW w:w="855" w:type="dxa"/>
            <w:vMerge/>
            <w:tcBorders>
              <w:top w:val="single" w:sz="4" w:space="0" w:color="auto"/>
              <w:left w:val="single" w:sz="12" w:space="0" w:color="auto"/>
              <w:bottom w:val="single" w:sz="4" w:space="0" w:color="auto"/>
              <w:right w:val="single" w:sz="4" w:space="0" w:color="auto"/>
            </w:tcBorders>
            <w:vAlign w:val="center"/>
          </w:tcPr>
          <w:p w:rsidR="009166AD" w:rsidRPr="0048391A" w:rsidRDefault="009166AD" w:rsidP="00646DE4">
            <w:pPr>
              <w:rPr>
                <w:sz w:val="18"/>
                <w:szCs w:val="18"/>
              </w:rPr>
            </w:pPr>
          </w:p>
        </w:tc>
        <w:tc>
          <w:tcPr>
            <w:tcW w:w="900" w:type="dxa"/>
            <w:gridSpan w:val="2"/>
            <w:tcBorders>
              <w:top w:val="single" w:sz="4" w:space="0" w:color="auto"/>
              <w:left w:val="nil"/>
              <w:bottom w:val="single" w:sz="4" w:space="0" w:color="auto"/>
              <w:right w:val="single" w:sz="4" w:space="0" w:color="auto"/>
            </w:tcBorders>
            <w:noWrap/>
            <w:vAlign w:val="center"/>
          </w:tcPr>
          <w:p w:rsidR="009166AD" w:rsidRPr="0048391A" w:rsidRDefault="009166AD" w:rsidP="00646DE4">
            <w:pPr>
              <w:rPr>
                <w:sz w:val="18"/>
                <w:szCs w:val="18"/>
              </w:rPr>
            </w:pPr>
            <w:r w:rsidRPr="0048391A">
              <w:rPr>
                <w:sz w:val="18"/>
                <w:szCs w:val="18"/>
              </w:rPr>
              <w:t>Half</w:t>
            </w:r>
          </w:p>
        </w:tc>
        <w:tc>
          <w:tcPr>
            <w:tcW w:w="585"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4.1</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4.1</w:t>
            </w:r>
          </w:p>
        </w:tc>
        <w:tc>
          <w:tcPr>
            <w:tcW w:w="603"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7.6</w:t>
            </w:r>
          </w:p>
        </w:tc>
        <w:tc>
          <w:tcPr>
            <w:tcW w:w="594"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19.2</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26.2</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6.0</w:t>
            </w:r>
          </w:p>
        </w:tc>
        <w:tc>
          <w:tcPr>
            <w:tcW w:w="666"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11.2</w:t>
            </w:r>
          </w:p>
        </w:tc>
        <w:tc>
          <w:tcPr>
            <w:tcW w:w="729"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11.2</w:t>
            </w:r>
          </w:p>
        </w:tc>
        <w:tc>
          <w:tcPr>
            <w:tcW w:w="765"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5.6</w:t>
            </w:r>
          </w:p>
        </w:tc>
        <w:tc>
          <w:tcPr>
            <w:tcW w:w="585"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5.6</w:t>
            </w:r>
          </w:p>
        </w:tc>
        <w:tc>
          <w:tcPr>
            <w:tcW w:w="648" w:type="dxa"/>
            <w:tcBorders>
              <w:top w:val="single" w:sz="4" w:space="0" w:color="auto"/>
              <w:left w:val="nil"/>
              <w:bottom w:val="single" w:sz="4" w:space="0" w:color="auto"/>
              <w:right w:val="single" w:sz="12"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5.6</w:t>
            </w:r>
          </w:p>
        </w:tc>
      </w:tr>
      <w:tr w:rsidR="009166AD" w:rsidRPr="0048391A" w:rsidTr="00646DE4">
        <w:trPr>
          <w:trHeight w:val="300"/>
        </w:trPr>
        <w:tc>
          <w:tcPr>
            <w:tcW w:w="855" w:type="dxa"/>
            <w:vMerge w:val="restart"/>
            <w:tcBorders>
              <w:top w:val="single" w:sz="4" w:space="0" w:color="auto"/>
              <w:left w:val="single" w:sz="12" w:space="0" w:color="auto"/>
              <w:bottom w:val="single" w:sz="4" w:space="0" w:color="auto"/>
              <w:right w:val="single" w:sz="4" w:space="0" w:color="auto"/>
            </w:tcBorders>
            <w:noWrap/>
            <w:vAlign w:val="center"/>
          </w:tcPr>
          <w:p w:rsidR="009166AD" w:rsidRPr="0048391A" w:rsidRDefault="009166AD" w:rsidP="00646DE4">
            <w:pPr>
              <w:rPr>
                <w:sz w:val="18"/>
                <w:szCs w:val="18"/>
              </w:rPr>
            </w:pPr>
            <w:r w:rsidRPr="0048391A">
              <w:rPr>
                <w:sz w:val="18"/>
                <w:szCs w:val="18"/>
              </w:rPr>
              <w:t>SCE</w:t>
            </w:r>
          </w:p>
        </w:tc>
        <w:tc>
          <w:tcPr>
            <w:tcW w:w="900" w:type="dxa"/>
            <w:gridSpan w:val="2"/>
            <w:tcBorders>
              <w:top w:val="single" w:sz="4" w:space="0" w:color="auto"/>
              <w:left w:val="nil"/>
              <w:bottom w:val="single" w:sz="4" w:space="0" w:color="auto"/>
              <w:right w:val="single" w:sz="4" w:space="0" w:color="auto"/>
            </w:tcBorders>
            <w:noWrap/>
            <w:vAlign w:val="center"/>
          </w:tcPr>
          <w:p w:rsidR="009166AD" w:rsidRPr="0048391A" w:rsidRDefault="009166AD" w:rsidP="00646DE4">
            <w:pPr>
              <w:rPr>
                <w:sz w:val="18"/>
                <w:szCs w:val="18"/>
              </w:rPr>
            </w:pPr>
            <w:r w:rsidRPr="0048391A">
              <w:rPr>
                <w:sz w:val="18"/>
                <w:szCs w:val="18"/>
              </w:rPr>
              <w:t>Constant</w:t>
            </w:r>
          </w:p>
        </w:tc>
        <w:tc>
          <w:tcPr>
            <w:tcW w:w="585"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4.7</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4.7</w:t>
            </w:r>
          </w:p>
        </w:tc>
        <w:tc>
          <w:tcPr>
            <w:tcW w:w="603"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6.3</w:t>
            </w:r>
          </w:p>
        </w:tc>
        <w:tc>
          <w:tcPr>
            <w:tcW w:w="594"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15.4</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13.6</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4.0</w:t>
            </w:r>
          </w:p>
        </w:tc>
        <w:tc>
          <w:tcPr>
            <w:tcW w:w="666"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14.1</w:t>
            </w:r>
          </w:p>
        </w:tc>
        <w:tc>
          <w:tcPr>
            <w:tcW w:w="729"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14.1</w:t>
            </w:r>
          </w:p>
        </w:tc>
        <w:tc>
          <w:tcPr>
            <w:tcW w:w="765"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14.1</w:t>
            </w:r>
          </w:p>
        </w:tc>
        <w:tc>
          <w:tcPr>
            <w:tcW w:w="585"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14.1</w:t>
            </w:r>
          </w:p>
        </w:tc>
        <w:tc>
          <w:tcPr>
            <w:tcW w:w="648" w:type="dxa"/>
            <w:tcBorders>
              <w:top w:val="single" w:sz="4" w:space="0" w:color="auto"/>
              <w:left w:val="nil"/>
              <w:bottom w:val="single" w:sz="4" w:space="0" w:color="auto"/>
              <w:right w:val="single" w:sz="12"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14.1</w:t>
            </w:r>
          </w:p>
        </w:tc>
      </w:tr>
      <w:tr w:rsidR="009166AD" w:rsidRPr="0048391A" w:rsidTr="00646DE4">
        <w:trPr>
          <w:trHeight w:val="300"/>
        </w:trPr>
        <w:tc>
          <w:tcPr>
            <w:tcW w:w="855" w:type="dxa"/>
            <w:vMerge/>
            <w:tcBorders>
              <w:top w:val="single" w:sz="4" w:space="0" w:color="auto"/>
              <w:left w:val="single" w:sz="12" w:space="0" w:color="auto"/>
              <w:bottom w:val="single" w:sz="4" w:space="0" w:color="auto"/>
              <w:right w:val="single" w:sz="4" w:space="0" w:color="auto"/>
            </w:tcBorders>
            <w:vAlign w:val="center"/>
          </w:tcPr>
          <w:p w:rsidR="009166AD" w:rsidRPr="0048391A" w:rsidRDefault="009166AD" w:rsidP="00646DE4">
            <w:pPr>
              <w:rPr>
                <w:sz w:val="18"/>
                <w:szCs w:val="18"/>
              </w:rPr>
            </w:pPr>
          </w:p>
        </w:tc>
        <w:tc>
          <w:tcPr>
            <w:tcW w:w="900" w:type="dxa"/>
            <w:gridSpan w:val="2"/>
            <w:tcBorders>
              <w:top w:val="single" w:sz="4" w:space="0" w:color="auto"/>
              <w:left w:val="nil"/>
              <w:bottom w:val="single" w:sz="4" w:space="0" w:color="auto"/>
              <w:right w:val="single" w:sz="4" w:space="0" w:color="auto"/>
            </w:tcBorders>
            <w:noWrap/>
            <w:vAlign w:val="center"/>
          </w:tcPr>
          <w:p w:rsidR="009166AD" w:rsidRPr="0048391A" w:rsidRDefault="009166AD" w:rsidP="00646DE4">
            <w:pPr>
              <w:rPr>
                <w:sz w:val="18"/>
                <w:szCs w:val="18"/>
              </w:rPr>
            </w:pPr>
            <w:r w:rsidRPr="0048391A">
              <w:rPr>
                <w:sz w:val="18"/>
                <w:szCs w:val="18"/>
              </w:rPr>
              <w:t>Half</w:t>
            </w:r>
          </w:p>
        </w:tc>
        <w:tc>
          <w:tcPr>
            <w:tcW w:w="585"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4.7</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4.7</w:t>
            </w:r>
          </w:p>
        </w:tc>
        <w:tc>
          <w:tcPr>
            <w:tcW w:w="603"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6.3</w:t>
            </w:r>
          </w:p>
        </w:tc>
        <w:tc>
          <w:tcPr>
            <w:tcW w:w="594"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15.4</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13.6</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4.0</w:t>
            </w:r>
          </w:p>
        </w:tc>
        <w:tc>
          <w:tcPr>
            <w:tcW w:w="666"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14.1</w:t>
            </w:r>
          </w:p>
        </w:tc>
        <w:tc>
          <w:tcPr>
            <w:tcW w:w="729"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14.1</w:t>
            </w:r>
          </w:p>
        </w:tc>
        <w:tc>
          <w:tcPr>
            <w:tcW w:w="765"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7.1</w:t>
            </w:r>
          </w:p>
        </w:tc>
        <w:tc>
          <w:tcPr>
            <w:tcW w:w="585"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7.1</w:t>
            </w:r>
          </w:p>
        </w:tc>
        <w:tc>
          <w:tcPr>
            <w:tcW w:w="648" w:type="dxa"/>
            <w:tcBorders>
              <w:top w:val="single" w:sz="4" w:space="0" w:color="auto"/>
              <w:left w:val="nil"/>
              <w:bottom w:val="single" w:sz="4" w:space="0" w:color="auto"/>
              <w:right w:val="single" w:sz="12"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7.1</w:t>
            </w:r>
          </w:p>
        </w:tc>
      </w:tr>
      <w:tr w:rsidR="009166AD" w:rsidRPr="0048391A" w:rsidTr="00646DE4">
        <w:trPr>
          <w:trHeight w:val="300"/>
        </w:trPr>
        <w:tc>
          <w:tcPr>
            <w:tcW w:w="855" w:type="dxa"/>
            <w:vMerge w:val="restart"/>
            <w:tcBorders>
              <w:top w:val="single" w:sz="4" w:space="0" w:color="auto"/>
              <w:left w:val="single" w:sz="12" w:space="0" w:color="auto"/>
              <w:bottom w:val="single" w:sz="4" w:space="0" w:color="auto"/>
              <w:right w:val="single" w:sz="4" w:space="0" w:color="auto"/>
            </w:tcBorders>
            <w:noWrap/>
            <w:vAlign w:val="center"/>
          </w:tcPr>
          <w:p w:rsidR="009166AD" w:rsidRPr="0048391A" w:rsidRDefault="009166AD" w:rsidP="00646DE4">
            <w:pPr>
              <w:rPr>
                <w:sz w:val="18"/>
                <w:szCs w:val="18"/>
              </w:rPr>
            </w:pPr>
            <w:r w:rsidRPr="0048391A">
              <w:rPr>
                <w:sz w:val="18"/>
                <w:szCs w:val="18"/>
              </w:rPr>
              <w:t>SDG&amp;E</w:t>
            </w:r>
          </w:p>
        </w:tc>
        <w:tc>
          <w:tcPr>
            <w:tcW w:w="900" w:type="dxa"/>
            <w:gridSpan w:val="2"/>
            <w:tcBorders>
              <w:top w:val="single" w:sz="4" w:space="0" w:color="auto"/>
              <w:left w:val="nil"/>
              <w:bottom w:val="single" w:sz="4" w:space="0" w:color="auto"/>
              <w:right w:val="single" w:sz="4" w:space="0" w:color="auto"/>
            </w:tcBorders>
            <w:noWrap/>
            <w:vAlign w:val="center"/>
          </w:tcPr>
          <w:p w:rsidR="009166AD" w:rsidRPr="0048391A" w:rsidRDefault="009166AD" w:rsidP="00646DE4">
            <w:pPr>
              <w:rPr>
                <w:sz w:val="18"/>
                <w:szCs w:val="18"/>
              </w:rPr>
            </w:pPr>
            <w:r w:rsidRPr="0048391A">
              <w:rPr>
                <w:sz w:val="18"/>
                <w:szCs w:val="18"/>
              </w:rPr>
              <w:t>Constant</w:t>
            </w:r>
          </w:p>
        </w:tc>
        <w:tc>
          <w:tcPr>
            <w:tcW w:w="585"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0.8</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0.8</w:t>
            </w:r>
          </w:p>
        </w:tc>
        <w:tc>
          <w:tcPr>
            <w:tcW w:w="603"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1.0</w:t>
            </w:r>
          </w:p>
        </w:tc>
        <w:tc>
          <w:tcPr>
            <w:tcW w:w="594"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3.8</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2.8</w:t>
            </w:r>
          </w:p>
        </w:tc>
        <w:tc>
          <w:tcPr>
            <w:tcW w:w="63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1.7</w:t>
            </w:r>
          </w:p>
        </w:tc>
        <w:tc>
          <w:tcPr>
            <w:tcW w:w="666"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3.2</w:t>
            </w:r>
          </w:p>
        </w:tc>
        <w:tc>
          <w:tcPr>
            <w:tcW w:w="729"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3.2</w:t>
            </w:r>
          </w:p>
        </w:tc>
        <w:tc>
          <w:tcPr>
            <w:tcW w:w="765"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3.2</w:t>
            </w:r>
          </w:p>
        </w:tc>
        <w:tc>
          <w:tcPr>
            <w:tcW w:w="585"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3.2</w:t>
            </w:r>
          </w:p>
        </w:tc>
        <w:tc>
          <w:tcPr>
            <w:tcW w:w="648" w:type="dxa"/>
            <w:tcBorders>
              <w:top w:val="single" w:sz="4" w:space="0" w:color="auto"/>
              <w:left w:val="nil"/>
              <w:bottom w:val="single" w:sz="4" w:space="0" w:color="auto"/>
              <w:right w:val="single" w:sz="12"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3.2</w:t>
            </w:r>
          </w:p>
        </w:tc>
      </w:tr>
      <w:tr w:rsidR="009166AD" w:rsidRPr="0048391A" w:rsidTr="00646DE4">
        <w:trPr>
          <w:trHeight w:val="300"/>
        </w:trPr>
        <w:tc>
          <w:tcPr>
            <w:tcW w:w="855" w:type="dxa"/>
            <w:vMerge/>
            <w:tcBorders>
              <w:top w:val="single" w:sz="4" w:space="0" w:color="auto"/>
              <w:left w:val="single" w:sz="12" w:space="0" w:color="auto"/>
              <w:bottom w:val="single" w:sz="12" w:space="0" w:color="auto"/>
              <w:right w:val="single" w:sz="4" w:space="0" w:color="auto"/>
            </w:tcBorders>
            <w:vAlign w:val="center"/>
          </w:tcPr>
          <w:p w:rsidR="009166AD" w:rsidRPr="0048391A" w:rsidRDefault="009166AD" w:rsidP="00646DE4">
            <w:pPr>
              <w:rPr>
                <w:sz w:val="18"/>
                <w:szCs w:val="18"/>
              </w:rPr>
            </w:pPr>
          </w:p>
        </w:tc>
        <w:tc>
          <w:tcPr>
            <w:tcW w:w="900" w:type="dxa"/>
            <w:gridSpan w:val="2"/>
            <w:tcBorders>
              <w:top w:val="single" w:sz="4" w:space="0" w:color="auto"/>
              <w:left w:val="nil"/>
              <w:bottom w:val="single" w:sz="12" w:space="0" w:color="auto"/>
              <w:right w:val="single" w:sz="4" w:space="0" w:color="auto"/>
            </w:tcBorders>
            <w:noWrap/>
            <w:vAlign w:val="center"/>
          </w:tcPr>
          <w:p w:rsidR="009166AD" w:rsidRPr="0048391A" w:rsidRDefault="009166AD" w:rsidP="00646DE4">
            <w:pPr>
              <w:rPr>
                <w:sz w:val="18"/>
                <w:szCs w:val="18"/>
              </w:rPr>
            </w:pPr>
            <w:r w:rsidRPr="0048391A">
              <w:rPr>
                <w:sz w:val="18"/>
                <w:szCs w:val="18"/>
              </w:rPr>
              <w:t>Half</w:t>
            </w:r>
          </w:p>
        </w:tc>
        <w:tc>
          <w:tcPr>
            <w:tcW w:w="585" w:type="dxa"/>
            <w:tcBorders>
              <w:top w:val="single" w:sz="4" w:space="0" w:color="auto"/>
              <w:left w:val="nil"/>
              <w:bottom w:val="single" w:sz="12"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0.8</w:t>
            </w:r>
          </w:p>
        </w:tc>
        <w:tc>
          <w:tcPr>
            <w:tcW w:w="630" w:type="dxa"/>
            <w:tcBorders>
              <w:top w:val="single" w:sz="4" w:space="0" w:color="auto"/>
              <w:left w:val="nil"/>
              <w:bottom w:val="single" w:sz="12"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0.8</w:t>
            </w:r>
          </w:p>
        </w:tc>
        <w:tc>
          <w:tcPr>
            <w:tcW w:w="603" w:type="dxa"/>
            <w:tcBorders>
              <w:top w:val="single" w:sz="4" w:space="0" w:color="auto"/>
              <w:left w:val="nil"/>
              <w:bottom w:val="single" w:sz="12"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1.0</w:t>
            </w:r>
          </w:p>
        </w:tc>
        <w:tc>
          <w:tcPr>
            <w:tcW w:w="594" w:type="dxa"/>
            <w:tcBorders>
              <w:top w:val="single" w:sz="4" w:space="0" w:color="auto"/>
              <w:left w:val="nil"/>
              <w:bottom w:val="single" w:sz="12"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3.8</w:t>
            </w:r>
          </w:p>
        </w:tc>
        <w:tc>
          <w:tcPr>
            <w:tcW w:w="630" w:type="dxa"/>
            <w:tcBorders>
              <w:top w:val="single" w:sz="4" w:space="0" w:color="auto"/>
              <w:left w:val="nil"/>
              <w:bottom w:val="single" w:sz="12"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2.8</w:t>
            </w:r>
          </w:p>
        </w:tc>
        <w:tc>
          <w:tcPr>
            <w:tcW w:w="630" w:type="dxa"/>
            <w:tcBorders>
              <w:top w:val="single" w:sz="4" w:space="0" w:color="auto"/>
              <w:left w:val="nil"/>
              <w:bottom w:val="single" w:sz="12"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1.7</w:t>
            </w:r>
          </w:p>
        </w:tc>
        <w:tc>
          <w:tcPr>
            <w:tcW w:w="666" w:type="dxa"/>
            <w:tcBorders>
              <w:top w:val="single" w:sz="4" w:space="0" w:color="auto"/>
              <w:left w:val="nil"/>
              <w:bottom w:val="single" w:sz="12" w:space="0" w:color="auto"/>
              <w:right w:val="single" w:sz="4" w:space="0" w:color="auto"/>
            </w:tcBorders>
            <w:noWrap/>
            <w:vAlign w:val="center"/>
          </w:tcPr>
          <w:p w:rsidR="009166AD" w:rsidRPr="0048391A" w:rsidRDefault="009166AD" w:rsidP="00646DE4">
            <w:pPr>
              <w:jc w:val="center"/>
              <w:rPr>
                <w:sz w:val="18"/>
                <w:szCs w:val="18"/>
              </w:rPr>
            </w:pPr>
            <w:r w:rsidRPr="0048391A">
              <w:rPr>
                <w:sz w:val="18"/>
                <w:szCs w:val="18"/>
              </w:rPr>
              <w:t>3.2</w:t>
            </w:r>
          </w:p>
        </w:tc>
        <w:tc>
          <w:tcPr>
            <w:tcW w:w="729" w:type="dxa"/>
            <w:tcBorders>
              <w:top w:val="single" w:sz="4" w:space="0" w:color="auto"/>
              <w:left w:val="nil"/>
              <w:bottom w:val="single" w:sz="12"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3.2</w:t>
            </w:r>
          </w:p>
        </w:tc>
        <w:tc>
          <w:tcPr>
            <w:tcW w:w="765" w:type="dxa"/>
            <w:tcBorders>
              <w:top w:val="single" w:sz="4" w:space="0" w:color="auto"/>
              <w:left w:val="nil"/>
              <w:bottom w:val="single" w:sz="12"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1.6</w:t>
            </w:r>
          </w:p>
        </w:tc>
        <w:tc>
          <w:tcPr>
            <w:tcW w:w="585" w:type="dxa"/>
            <w:tcBorders>
              <w:top w:val="single" w:sz="4" w:space="0" w:color="auto"/>
              <w:left w:val="nil"/>
              <w:bottom w:val="single" w:sz="12" w:space="0" w:color="auto"/>
              <w:right w:val="single" w:sz="4"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1.6</w:t>
            </w:r>
          </w:p>
        </w:tc>
        <w:tc>
          <w:tcPr>
            <w:tcW w:w="648" w:type="dxa"/>
            <w:tcBorders>
              <w:top w:val="single" w:sz="4" w:space="0" w:color="auto"/>
              <w:left w:val="nil"/>
              <w:bottom w:val="single" w:sz="12" w:space="0" w:color="auto"/>
              <w:right w:val="single" w:sz="12" w:space="0" w:color="auto"/>
            </w:tcBorders>
            <w:shd w:val="clear" w:color="000000" w:fill="D8D8D8"/>
            <w:noWrap/>
            <w:vAlign w:val="center"/>
          </w:tcPr>
          <w:p w:rsidR="009166AD" w:rsidRPr="0048391A" w:rsidRDefault="009166AD" w:rsidP="00646DE4">
            <w:pPr>
              <w:jc w:val="center"/>
              <w:rPr>
                <w:sz w:val="18"/>
                <w:szCs w:val="18"/>
              </w:rPr>
            </w:pPr>
            <w:r w:rsidRPr="0048391A">
              <w:rPr>
                <w:sz w:val="18"/>
                <w:szCs w:val="18"/>
              </w:rPr>
              <w:t>1.6</w:t>
            </w:r>
          </w:p>
        </w:tc>
      </w:tr>
    </w:tbl>
    <w:p w:rsidR="009166AD" w:rsidRDefault="009166AD" w:rsidP="009166AD"/>
    <w:p w:rsidR="009166AD" w:rsidRDefault="009166AD" w:rsidP="009166AD">
      <w:r>
        <w:t xml:space="preserve">The second updated parameter is the number of residential households served by the IOUs.  We developed tables with actual and projected sales for the Retail Energy Outlook, Issue 9, Q2 2011 (KEMA 2011).  Historical data, from 2003 through 2009, comes from the EIA Annual Electric Power Industry Report (Form EIA-861, File 2).  The </w:t>
      </w:r>
      <w:r w:rsidR="000970B0">
        <w:t>remaining years are projected.  We</w:t>
      </w:r>
      <w:r>
        <w:t xml:space="preserve"> estimated the number of customer accounts using data from EIA Short Term Energy Outlook (STEO) for 2010 through 2012, and growth rates from the EIA Annual Energy Outlook for 2013 and 2014.  </w:t>
      </w:r>
      <w:fldSimple w:instr=" REF _Ref307563670 ">
        <w:r>
          <w:t xml:space="preserve">Table </w:t>
        </w:r>
        <w:r>
          <w:rPr>
            <w:noProof/>
          </w:rPr>
          <w:t>3</w:t>
        </w:r>
        <w:r>
          <w:noBreakHyphen/>
        </w:r>
        <w:r>
          <w:rPr>
            <w:noProof/>
          </w:rPr>
          <w:t>4</w:t>
        </w:r>
      </w:fldSimple>
      <w:r>
        <w:t xml:space="preserve"> shows the actual and projected number of residential households for each IOU, from 2004 through 2014, with projected years shaded in grey. </w:t>
      </w:r>
    </w:p>
    <w:p w:rsidR="009166AD" w:rsidRDefault="009166AD" w:rsidP="009166AD">
      <w:pPr>
        <w:spacing w:after="130"/>
        <w:ind w:left="720" w:hanging="432"/>
      </w:pPr>
      <w:r>
        <w:br w:type="page"/>
      </w:r>
    </w:p>
    <w:p w:rsidR="009166AD" w:rsidRDefault="009166AD" w:rsidP="009166AD">
      <w:pPr>
        <w:pStyle w:val="Caption"/>
      </w:pPr>
      <w:bookmarkStart w:id="4" w:name="_Ref307563670"/>
      <w:bookmarkStart w:id="5" w:name="_Ref305402611"/>
      <w:r>
        <w:lastRenderedPageBreak/>
        <w:t xml:space="preserve">Table </w:t>
      </w:r>
      <w:fldSimple w:instr=" STYLEREF 1 \s ">
        <w:r>
          <w:rPr>
            <w:noProof/>
          </w:rPr>
          <w:t>3</w:t>
        </w:r>
      </w:fldSimple>
      <w:r>
        <w:noBreakHyphen/>
      </w:r>
      <w:fldSimple w:instr=" SEQ Table \* ARABIC \s 1 ">
        <w:r>
          <w:rPr>
            <w:noProof/>
          </w:rPr>
          <w:t>4</w:t>
        </w:r>
      </w:fldSimple>
      <w:bookmarkEnd w:id="4"/>
      <w:r>
        <w:t xml:space="preserve">: </w:t>
      </w:r>
      <w:bookmarkEnd w:id="5"/>
      <w:r>
        <w:t>Projected Number of Residential Households by IOU (</w:t>
      </w:r>
      <w:r w:rsidR="005D7688">
        <w:t xml:space="preserve">in </w:t>
      </w:r>
      <w:r>
        <w:t>million</w:t>
      </w:r>
      <w:r w:rsidR="005D7688">
        <w:t>s</w:t>
      </w:r>
      <w:r>
        <w:t>)</w:t>
      </w:r>
    </w:p>
    <w:tbl>
      <w:tblPr>
        <w:tblW w:w="7560" w:type="dxa"/>
        <w:tblInd w:w="108" w:type="dxa"/>
        <w:tblLook w:val="00A0"/>
      </w:tblPr>
      <w:tblGrid>
        <w:gridCol w:w="1030"/>
        <w:gridCol w:w="696"/>
        <w:gridCol w:w="696"/>
        <w:gridCol w:w="696"/>
        <w:gridCol w:w="696"/>
        <w:gridCol w:w="696"/>
        <w:gridCol w:w="696"/>
        <w:gridCol w:w="696"/>
        <w:gridCol w:w="696"/>
        <w:gridCol w:w="696"/>
        <w:gridCol w:w="696"/>
        <w:gridCol w:w="696"/>
      </w:tblGrid>
      <w:tr w:rsidR="009166AD" w:rsidRPr="0048391A" w:rsidTr="00646DE4">
        <w:trPr>
          <w:trHeight w:val="300"/>
        </w:trPr>
        <w:tc>
          <w:tcPr>
            <w:tcW w:w="960" w:type="dxa"/>
            <w:tcBorders>
              <w:top w:val="nil"/>
              <w:left w:val="nil"/>
              <w:bottom w:val="nil"/>
              <w:right w:val="single" w:sz="12" w:space="0" w:color="auto"/>
            </w:tcBorders>
            <w:noWrap/>
            <w:vAlign w:val="center"/>
          </w:tcPr>
          <w:p w:rsidR="009166AD" w:rsidRPr="0048391A" w:rsidRDefault="009166AD" w:rsidP="00646DE4"/>
        </w:tc>
        <w:tc>
          <w:tcPr>
            <w:tcW w:w="6600" w:type="dxa"/>
            <w:gridSpan w:val="11"/>
            <w:tcBorders>
              <w:top w:val="single" w:sz="12" w:space="0" w:color="auto"/>
              <w:left w:val="single" w:sz="12" w:space="0" w:color="auto"/>
              <w:bottom w:val="single" w:sz="4" w:space="0" w:color="auto"/>
              <w:right w:val="single" w:sz="12" w:space="0" w:color="auto"/>
            </w:tcBorders>
            <w:noWrap/>
            <w:vAlign w:val="center"/>
          </w:tcPr>
          <w:p w:rsidR="009166AD" w:rsidRPr="0048391A" w:rsidRDefault="009166AD" w:rsidP="00646DE4">
            <w:pPr>
              <w:rPr>
                <w:b/>
              </w:rPr>
            </w:pPr>
            <w:r w:rsidRPr="0048391A">
              <w:rPr>
                <w:b/>
              </w:rPr>
              <w:t>Residential Households by Year</w:t>
            </w:r>
          </w:p>
        </w:tc>
      </w:tr>
      <w:tr w:rsidR="009166AD" w:rsidRPr="0048391A" w:rsidTr="00646DE4">
        <w:trPr>
          <w:trHeight w:val="300"/>
        </w:trPr>
        <w:tc>
          <w:tcPr>
            <w:tcW w:w="960" w:type="dxa"/>
            <w:tcBorders>
              <w:top w:val="nil"/>
              <w:left w:val="nil"/>
              <w:bottom w:val="single" w:sz="12" w:space="0" w:color="auto"/>
              <w:right w:val="single" w:sz="12" w:space="0" w:color="auto"/>
            </w:tcBorders>
            <w:noWrap/>
            <w:vAlign w:val="center"/>
          </w:tcPr>
          <w:p w:rsidR="009166AD" w:rsidRPr="0048391A" w:rsidRDefault="009166AD" w:rsidP="00646DE4"/>
        </w:tc>
        <w:tc>
          <w:tcPr>
            <w:tcW w:w="3600" w:type="dxa"/>
            <w:gridSpan w:val="6"/>
            <w:tcBorders>
              <w:top w:val="single" w:sz="4" w:space="0" w:color="auto"/>
              <w:left w:val="single" w:sz="12" w:space="0" w:color="auto"/>
              <w:bottom w:val="single" w:sz="12" w:space="0" w:color="auto"/>
              <w:right w:val="nil"/>
            </w:tcBorders>
            <w:noWrap/>
            <w:vAlign w:val="center"/>
          </w:tcPr>
          <w:p w:rsidR="009166AD" w:rsidRPr="0048391A" w:rsidRDefault="009166AD" w:rsidP="00646DE4">
            <w:pPr>
              <w:rPr>
                <w:b/>
              </w:rPr>
            </w:pPr>
            <w:r w:rsidRPr="0048391A">
              <w:rPr>
                <w:b/>
              </w:rPr>
              <w:t>Actual</w:t>
            </w:r>
          </w:p>
        </w:tc>
        <w:tc>
          <w:tcPr>
            <w:tcW w:w="3000" w:type="dxa"/>
            <w:gridSpan w:val="5"/>
            <w:tcBorders>
              <w:top w:val="single" w:sz="4" w:space="0" w:color="auto"/>
              <w:left w:val="single" w:sz="4" w:space="0" w:color="auto"/>
              <w:bottom w:val="single" w:sz="12" w:space="0" w:color="auto"/>
              <w:right w:val="single" w:sz="12" w:space="0" w:color="auto"/>
            </w:tcBorders>
            <w:shd w:val="clear" w:color="000000" w:fill="D8D8D8"/>
            <w:noWrap/>
            <w:vAlign w:val="center"/>
          </w:tcPr>
          <w:p w:rsidR="009166AD" w:rsidRPr="0048391A" w:rsidRDefault="009166AD" w:rsidP="00646DE4">
            <w:pPr>
              <w:rPr>
                <w:b/>
              </w:rPr>
            </w:pPr>
            <w:r w:rsidRPr="0048391A">
              <w:rPr>
                <w:b/>
              </w:rPr>
              <w:t>Projected</w:t>
            </w:r>
          </w:p>
        </w:tc>
      </w:tr>
      <w:tr w:rsidR="009166AD" w:rsidRPr="0048391A" w:rsidTr="00646DE4">
        <w:trPr>
          <w:trHeight w:val="300"/>
        </w:trPr>
        <w:tc>
          <w:tcPr>
            <w:tcW w:w="960" w:type="dxa"/>
            <w:tcBorders>
              <w:top w:val="single" w:sz="12" w:space="0" w:color="auto"/>
              <w:left w:val="single" w:sz="12" w:space="0" w:color="auto"/>
              <w:bottom w:val="single" w:sz="4" w:space="0" w:color="auto"/>
              <w:right w:val="single" w:sz="4" w:space="0" w:color="auto"/>
            </w:tcBorders>
            <w:noWrap/>
            <w:vAlign w:val="center"/>
          </w:tcPr>
          <w:p w:rsidR="009166AD" w:rsidRPr="0048391A" w:rsidRDefault="009166AD" w:rsidP="00646DE4">
            <w:r w:rsidRPr="0048391A">
              <w:t>IOU</w:t>
            </w:r>
          </w:p>
        </w:tc>
        <w:tc>
          <w:tcPr>
            <w:tcW w:w="600" w:type="dxa"/>
            <w:tcBorders>
              <w:top w:val="single" w:sz="12"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2004</w:t>
            </w:r>
          </w:p>
        </w:tc>
        <w:tc>
          <w:tcPr>
            <w:tcW w:w="600" w:type="dxa"/>
            <w:tcBorders>
              <w:top w:val="single" w:sz="12"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2005</w:t>
            </w:r>
          </w:p>
        </w:tc>
        <w:tc>
          <w:tcPr>
            <w:tcW w:w="600" w:type="dxa"/>
            <w:tcBorders>
              <w:top w:val="single" w:sz="12"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2006</w:t>
            </w:r>
          </w:p>
        </w:tc>
        <w:tc>
          <w:tcPr>
            <w:tcW w:w="600" w:type="dxa"/>
            <w:tcBorders>
              <w:top w:val="single" w:sz="12"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2007</w:t>
            </w:r>
          </w:p>
        </w:tc>
        <w:tc>
          <w:tcPr>
            <w:tcW w:w="600" w:type="dxa"/>
            <w:tcBorders>
              <w:top w:val="single" w:sz="12"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2008</w:t>
            </w:r>
          </w:p>
        </w:tc>
        <w:tc>
          <w:tcPr>
            <w:tcW w:w="600" w:type="dxa"/>
            <w:tcBorders>
              <w:top w:val="single" w:sz="12"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2009</w:t>
            </w:r>
          </w:p>
        </w:tc>
        <w:tc>
          <w:tcPr>
            <w:tcW w:w="600" w:type="dxa"/>
            <w:tcBorders>
              <w:top w:val="single" w:sz="12"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pPr>
            <w:r w:rsidRPr="0048391A">
              <w:t>2010</w:t>
            </w:r>
          </w:p>
        </w:tc>
        <w:tc>
          <w:tcPr>
            <w:tcW w:w="600" w:type="dxa"/>
            <w:tcBorders>
              <w:top w:val="single" w:sz="12"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pPr>
            <w:r w:rsidRPr="0048391A">
              <w:t>2011</w:t>
            </w:r>
          </w:p>
        </w:tc>
        <w:tc>
          <w:tcPr>
            <w:tcW w:w="600" w:type="dxa"/>
            <w:tcBorders>
              <w:top w:val="single" w:sz="12"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pPr>
            <w:r w:rsidRPr="0048391A">
              <w:t>2012</w:t>
            </w:r>
          </w:p>
        </w:tc>
        <w:tc>
          <w:tcPr>
            <w:tcW w:w="600" w:type="dxa"/>
            <w:tcBorders>
              <w:top w:val="single" w:sz="12"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pPr>
            <w:r w:rsidRPr="0048391A">
              <w:t>2013</w:t>
            </w:r>
          </w:p>
        </w:tc>
        <w:tc>
          <w:tcPr>
            <w:tcW w:w="600" w:type="dxa"/>
            <w:tcBorders>
              <w:top w:val="single" w:sz="12" w:space="0" w:color="auto"/>
              <w:left w:val="nil"/>
              <w:bottom w:val="single" w:sz="4" w:space="0" w:color="auto"/>
              <w:right w:val="single" w:sz="12" w:space="0" w:color="auto"/>
            </w:tcBorders>
            <w:shd w:val="clear" w:color="000000" w:fill="D8D8D8"/>
            <w:noWrap/>
            <w:vAlign w:val="center"/>
          </w:tcPr>
          <w:p w:rsidR="009166AD" w:rsidRPr="0048391A" w:rsidRDefault="009166AD" w:rsidP="00646DE4">
            <w:pPr>
              <w:jc w:val="center"/>
            </w:pPr>
            <w:r w:rsidRPr="0048391A">
              <w:t>2014</w:t>
            </w:r>
          </w:p>
        </w:tc>
      </w:tr>
      <w:tr w:rsidR="009166AD" w:rsidRPr="0048391A" w:rsidTr="00646DE4">
        <w:trPr>
          <w:trHeight w:val="300"/>
        </w:trPr>
        <w:tc>
          <w:tcPr>
            <w:tcW w:w="960" w:type="dxa"/>
            <w:tcBorders>
              <w:top w:val="single" w:sz="4" w:space="0" w:color="auto"/>
              <w:left w:val="single" w:sz="12" w:space="0" w:color="auto"/>
              <w:bottom w:val="single" w:sz="4" w:space="0" w:color="auto"/>
              <w:right w:val="single" w:sz="4" w:space="0" w:color="auto"/>
            </w:tcBorders>
            <w:noWrap/>
            <w:vAlign w:val="center"/>
          </w:tcPr>
          <w:p w:rsidR="009166AD" w:rsidRPr="0048391A" w:rsidRDefault="009166AD" w:rsidP="00646DE4">
            <w:r w:rsidRPr="0048391A">
              <w:t>Overall</w:t>
            </w:r>
          </w:p>
        </w:tc>
        <w:tc>
          <w:tcPr>
            <w:tcW w:w="60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9.4</w:t>
            </w:r>
          </w:p>
        </w:tc>
        <w:tc>
          <w:tcPr>
            <w:tcW w:w="60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9.5</w:t>
            </w:r>
          </w:p>
        </w:tc>
        <w:tc>
          <w:tcPr>
            <w:tcW w:w="60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9.7</w:t>
            </w:r>
          </w:p>
        </w:tc>
        <w:tc>
          <w:tcPr>
            <w:tcW w:w="60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9.8</w:t>
            </w:r>
          </w:p>
        </w:tc>
        <w:tc>
          <w:tcPr>
            <w:tcW w:w="60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9.9</w:t>
            </w:r>
          </w:p>
        </w:tc>
        <w:tc>
          <w:tcPr>
            <w:tcW w:w="60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9.8</w:t>
            </w:r>
          </w:p>
        </w:tc>
        <w:tc>
          <w:tcPr>
            <w:tcW w:w="600"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pPr>
            <w:r w:rsidRPr="0048391A">
              <w:t>9.5</w:t>
            </w:r>
          </w:p>
        </w:tc>
        <w:tc>
          <w:tcPr>
            <w:tcW w:w="600"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pPr>
            <w:r w:rsidRPr="0048391A">
              <w:t>9.7</w:t>
            </w:r>
          </w:p>
        </w:tc>
        <w:tc>
          <w:tcPr>
            <w:tcW w:w="600"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pPr>
            <w:r w:rsidRPr="0048391A">
              <w:t>9.9</w:t>
            </w:r>
          </w:p>
        </w:tc>
        <w:tc>
          <w:tcPr>
            <w:tcW w:w="600"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pPr>
            <w:r w:rsidRPr="0048391A">
              <w:t>9.7</w:t>
            </w:r>
          </w:p>
        </w:tc>
        <w:tc>
          <w:tcPr>
            <w:tcW w:w="600" w:type="dxa"/>
            <w:tcBorders>
              <w:top w:val="single" w:sz="4" w:space="0" w:color="auto"/>
              <w:left w:val="nil"/>
              <w:bottom w:val="single" w:sz="4" w:space="0" w:color="auto"/>
              <w:right w:val="single" w:sz="12" w:space="0" w:color="auto"/>
            </w:tcBorders>
            <w:shd w:val="clear" w:color="000000" w:fill="D8D8D8"/>
            <w:noWrap/>
            <w:vAlign w:val="center"/>
          </w:tcPr>
          <w:p w:rsidR="009166AD" w:rsidRPr="0048391A" w:rsidRDefault="009166AD" w:rsidP="00646DE4">
            <w:pPr>
              <w:jc w:val="center"/>
            </w:pPr>
            <w:r w:rsidRPr="0048391A">
              <w:t>9.6</w:t>
            </w:r>
          </w:p>
        </w:tc>
      </w:tr>
      <w:tr w:rsidR="009166AD" w:rsidRPr="0048391A" w:rsidTr="00646DE4">
        <w:trPr>
          <w:trHeight w:val="300"/>
        </w:trPr>
        <w:tc>
          <w:tcPr>
            <w:tcW w:w="960" w:type="dxa"/>
            <w:tcBorders>
              <w:top w:val="single" w:sz="4" w:space="0" w:color="auto"/>
              <w:left w:val="single" w:sz="12" w:space="0" w:color="auto"/>
              <w:bottom w:val="single" w:sz="4" w:space="0" w:color="auto"/>
              <w:right w:val="single" w:sz="4" w:space="0" w:color="auto"/>
            </w:tcBorders>
            <w:noWrap/>
            <w:vAlign w:val="center"/>
          </w:tcPr>
          <w:p w:rsidR="009166AD" w:rsidRPr="0048391A" w:rsidRDefault="009166AD" w:rsidP="00646DE4">
            <w:r w:rsidRPr="0048391A">
              <w:t>PG&amp;E</w:t>
            </w:r>
          </w:p>
        </w:tc>
        <w:tc>
          <w:tcPr>
            <w:tcW w:w="60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4.3</w:t>
            </w:r>
          </w:p>
        </w:tc>
        <w:tc>
          <w:tcPr>
            <w:tcW w:w="60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4.3</w:t>
            </w:r>
          </w:p>
        </w:tc>
        <w:tc>
          <w:tcPr>
            <w:tcW w:w="60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4.4</w:t>
            </w:r>
          </w:p>
        </w:tc>
        <w:tc>
          <w:tcPr>
            <w:tcW w:w="60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4.5</w:t>
            </w:r>
          </w:p>
        </w:tc>
        <w:tc>
          <w:tcPr>
            <w:tcW w:w="60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4.5</w:t>
            </w:r>
          </w:p>
        </w:tc>
        <w:tc>
          <w:tcPr>
            <w:tcW w:w="60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4.5</w:t>
            </w:r>
          </w:p>
        </w:tc>
        <w:tc>
          <w:tcPr>
            <w:tcW w:w="600"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pPr>
            <w:r w:rsidRPr="0048391A">
              <w:t>4.3</w:t>
            </w:r>
          </w:p>
        </w:tc>
        <w:tc>
          <w:tcPr>
            <w:tcW w:w="600"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pPr>
            <w:r w:rsidRPr="0048391A">
              <w:t>4.4</w:t>
            </w:r>
          </w:p>
        </w:tc>
        <w:tc>
          <w:tcPr>
            <w:tcW w:w="600"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pPr>
            <w:r w:rsidRPr="0048391A">
              <w:t>4.5</w:t>
            </w:r>
          </w:p>
        </w:tc>
        <w:tc>
          <w:tcPr>
            <w:tcW w:w="600"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pPr>
            <w:r w:rsidRPr="0048391A">
              <w:t>4.4</w:t>
            </w:r>
          </w:p>
        </w:tc>
        <w:tc>
          <w:tcPr>
            <w:tcW w:w="600" w:type="dxa"/>
            <w:tcBorders>
              <w:top w:val="single" w:sz="4" w:space="0" w:color="auto"/>
              <w:left w:val="nil"/>
              <w:bottom w:val="single" w:sz="4" w:space="0" w:color="auto"/>
              <w:right w:val="single" w:sz="12" w:space="0" w:color="auto"/>
            </w:tcBorders>
            <w:shd w:val="clear" w:color="000000" w:fill="D8D8D8"/>
            <w:noWrap/>
            <w:vAlign w:val="center"/>
          </w:tcPr>
          <w:p w:rsidR="009166AD" w:rsidRPr="0048391A" w:rsidRDefault="009166AD" w:rsidP="00646DE4">
            <w:pPr>
              <w:jc w:val="center"/>
            </w:pPr>
            <w:r w:rsidRPr="0048391A">
              <w:t>4.4</w:t>
            </w:r>
          </w:p>
        </w:tc>
      </w:tr>
      <w:tr w:rsidR="009166AD" w:rsidRPr="0048391A" w:rsidTr="00646DE4">
        <w:trPr>
          <w:trHeight w:val="300"/>
        </w:trPr>
        <w:tc>
          <w:tcPr>
            <w:tcW w:w="960" w:type="dxa"/>
            <w:tcBorders>
              <w:top w:val="single" w:sz="4" w:space="0" w:color="auto"/>
              <w:left w:val="single" w:sz="12" w:space="0" w:color="auto"/>
              <w:bottom w:val="single" w:sz="4" w:space="0" w:color="auto"/>
              <w:right w:val="single" w:sz="4" w:space="0" w:color="auto"/>
            </w:tcBorders>
            <w:noWrap/>
            <w:vAlign w:val="center"/>
          </w:tcPr>
          <w:p w:rsidR="009166AD" w:rsidRPr="0048391A" w:rsidRDefault="009166AD" w:rsidP="00646DE4">
            <w:r w:rsidRPr="0048391A">
              <w:t>SCE</w:t>
            </w:r>
          </w:p>
        </w:tc>
        <w:tc>
          <w:tcPr>
            <w:tcW w:w="60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4.0</w:t>
            </w:r>
          </w:p>
        </w:tc>
        <w:tc>
          <w:tcPr>
            <w:tcW w:w="60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4.0</w:t>
            </w:r>
          </w:p>
        </w:tc>
        <w:tc>
          <w:tcPr>
            <w:tcW w:w="60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4.1</w:t>
            </w:r>
          </w:p>
        </w:tc>
        <w:tc>
          <w:tcPr>
            <w:tcW w:w="60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4.1</w:t>
            </w:r>
          </w:p>
        </w:tc>
        <w:tc>
          <w:tcPr>
            <w:tcW w:w="60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4.2</w:t>
            </w:r>
          </w:p>
        </w:tc>
        <w:tc>
          <w:tcPr>
            <w:tcW w:w="600" w:type="dxa"/>
            <w:tcBorders>
              <w:top w:val="single" w:sz="4" w:space="0" w:color="auto"/>
              <w:left w:val="nil"/>
              <w:bottom w:val="single" w:sz="4" w:space="0" w:color="auto"/>
              <w:right w:val="single" w:sz="4" w:space="0" w:color="auto"/>
            </w:tcBorders>
            <w:noWrap/>
            <w:vAlign w:val="center"/>
          </w:tcPr>
          <w:p w:rsidR="009166AD" w:rsidRPr="0048391A" w:rsidRDefault="009166AD" w:rsidP="00646DE4">
            <w:pPr>
              <w:jc w:val="center"/>
            </w:pPr>
            <w:r w:rsidRPr="0048391A">
              <w:t>4.2</w:t>
            </w:r>
          </w:p>
        </w:tc>
        <w:tc>
          <w:tcPr>
            <w:tcW w:w="600"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pPr>
            <w:r w:rsidRPr="0048391A">
              <w:t>4.0</w:t>
            </w:r>
          </w:p>
        </w:tc>
        <w:tc>
          <w:tcPr>
            <w:tcW w:w="600"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pPr>
            <w:r w:rsidRPr="0048391A">
              <w:t>4.1</w:t>
            </w:r>
          </w:p>
        </w:tc>
        <w:tc>
          <w:tcPr>
            <w:tcW w:w="600"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pPr>
            <w:r w:rsidRPr="0048391A">
              <w:t>4.2</w:t>
            </w:r>
          </w:p>
        </w:tc>
        <w:tc>
          <w:tcPr>
            <w:tcW w:w="600" w:type="dxa"/>
            <w:tcBorders>
              <w:top w:val="single" w:sz="4" w:space="0" w:color="auto"/>
              <w:left w:val="nil"/>
              <w:bottom w:val="single" w:sz="4" w:space="0" w:color="auto"/>
              <w:right w:val="single" w:sz="4" w:space="0" w:color="auto"/>
            </w:tcBorders>
            <w:shd w:val="clear" w:color="000000" w:fill="D8D8D8"/>
            <w:noWrap/>
            <w:vAlign w:val="center"/>
          </w:tcPr>
          <w:p w:rsidR="009166AD" w:rsidRPr="0048391A" w:rsidRDefault="009166AD" w:rsidP="00646DE4">
            <w:pPr>
              <w:jc w:val="center"/>
            </w:pPr>
            <w:r w:rsidRPr="0048391A">
              <w:t>4.1</w:t>
            </w:r>
          </w:p>
        </w:tc>
        <w:tc>
          <w:tcPr>
            <w:tcW w:w="600" w:type="dxa"/>
            <w:tcBorders>
              <w:top w:val="single" w:sz="4" w:space="0" w:color="auto"/>
              <w:left w:val="nil"/>
              <w:bottom w:val="single" w:sz="4" w:space="0" w:color="auto"/>
              <w:right w:val="single" w:sz="12" w:space="0" w:color="auto"/>
            </w:tcBorders>
            <w:shd w:val="clear" w:color="000000" w:fill="D8D8D8"/>
            <w:noWrap/>
            <w:vAlign w:val="center"/>
          </w:tcPr>
          <w:p w:rsidR="009166AD" w:rsidRPr="0048391A" w:rsidRDefault="009166AD" w:rsidP="00646DE4">
            <w:pPr>
              <w:jc w:val="center"/>
            </w:pPr>
            <w:r w:rsidRPr="0048391A">
              <w:t>4.1</w:t>
            </w:r>
          </w:p>
        </w:tc>
      </w:tr>
      <w:tr w:rsidR="009166AD" w:rsidRPr="0048391A" w:rsidTr="00646DE4">
        <w:trPr>
          <w:trHeight w:val="300"/>
        </w:trPr>
        <w:tc>
          <w:tcPr>
            <w:tcW w:w="960" w:type="dxa"/>
            <w:tcBorders>
              <w:top w:val="single" w:sz="4" w:space="0" w:color="auto"/>
              <w:left w:val="single" w:sz="12" w:space="0" w:color="auto"/>
              <w:bottom w:val="single" w:sz="12" w:space="0" w:color="auto"/>
              <w:right w:val="single" w:sz="4" w:space="0" w:color="auto"/>
            </w:tcBorders>
            <w:noWrap/>
            <w:vAlign w:val="center"/>
          </w:tcPr>
          <w:p w:rsidR="009166AD" w:rsidRPr="0048391A" w:rsidRDefault="009166AD" w:rsidP="00646DE4">
            <w:r w:rsidRPr="0048391A">
              <w:t>SDG&amp;E</w:t>
            </w:r>
          </w:p>
        </w:tc>
        <w:tc>
          <w:tcPr>
            <w:tcW w:w="600" w:type="dxa"/>
            <w:tcBorders>
              <w:top w:val="single" w:sz="4" w:space="0" w:color="auto"/>
              <w:left w:val="nil"/>
              <w:bottom w:val="single" w:sz="12" w:space="0" w:color="auto"/>
              <w:right w:val="single" w:sz="4" w:space="0" w:color="auto"/>
            </w:tcBorders>
            <w:noWrap/>
            <w:vAlign w:val="center"/>
          </w:tcPr>
          <w:p w:rsidR="009166AD" w:rsidRPr="0048391A" w:rsidRDefault="009166AD" w:rsidP="00646DE4">
            <w:pPr>
              <w:jc w:val="center"/>
            </w:pPr>
            <w:r w:rsidRPr="0048391A">
              <w:t>1.1</w:t>
            </w:r>
          </w:p>
        </w:tc>
        <w:tc>
          <w:tcPr>
            <w:tcW w:w="600" w:type="dxa"/>
            <w:tcBorders>
              <w:top w:val="single" w:sz="4" w:space="0" w:color="auto"/>
              <w:left w:val="nil"/>
              <w:bottom w:val="single" w:sz="12" w:space="0" w:color="auto"/>
              <w:right w:val="single" w:sz="4" w:space="0" w:color="auto"/>
            </w:tcBorders>
            <w:noWrap/>
            <w:vAlign w:val="center"/>
          </w:tcPr>
          <w:p w:rsidR="009166AD" w:rsidRPr="0048391A" w:rsidRDefault="009166AD" w:rsidP="00646DE4">
            <w:pPr>
              <w:jc w:val="center"/>
            </w:pPr>
            <w:r w:rsidRPr="0048391A">
              <w:t>1.2</w:t>
            </w:r>
          </w:p>
        </w:tc>
        <w:tc>
          <w:tcPr>
            <w:tcW w:w="600" w:type="dxa"/>
            <w:tcBorders>
              <w:top w:val="single" w:sz="4" w:space="0" w:color="auto"/>
              <w:left w:val="nil"/>
              <w:bottom w:val="single" w:sz="12" w:space="0" w:color="auto"/>
              <w:right w:val="single" w:sz="4" w:space="0" w:color="auto"/>
            </w:tcBorders>
            <w:noWrap/>
            <w:vAlign w:val="center"/>
          </w:tcPr>
          <w:p w:rsidR="009166AD" w:rsidRPr="0048391A" w:rsidRDefault="009166AD" w:rsidP="00646DE4">
            <w:pPr>
              <w:jc w:val="center"/>
            </w:pPr>
            <w:r w:rsidRPr="0048391A">
              <w:t>1.2</w:t>
            </w:r>
          </w:p>
        </w:tc>
        <w:tc>
          <w:tcPr>
            <w:tcW w:w="600" w:type="dxa"/>
            <w:tcBorders>
              <w:top w:val="single" w:sz="4" w:space="0" w:color="auto"/>
              <w:left w:val="nil"/>
              <w:bottom w:val="single" w:sz="12" w:space="0" w:color="auto"/>
              <w:right w:val="single" w:sz="4" w:space="0" w:color="auto"/>
            </w:tcBorders>
            <w:noWrap/>
            <w:vAlign w:val="center"/>
          </w:tcPr>
          <w:p w:rsidR="009166AD" w:rsidRPr="0048391A" w:rsidRDefault="009166AD" w:rsidP="00646DE4">
            <w:pPr>
              <w:jc w:val="center"/>
            </w:pPr>
            <w:r w:rsidRPr="0048391A">
              <w:t>1.2</w:t>
            </w:r>
          </w:p>
        </w:tc>
        <w:tc>
          <w:tcPr>
            <w:tcW w:w="600" w:type="dxa"/>
            <w:tcBorders>
              <w:top w:val="single" w:sz="4" w:space="0" w:color="auto"/>
              <w:left w:val="nil"/>
              <w:bottom w:val="single" w:sz="12" w:space="0" w:color="auto"/>
              <w:right w:val="single" w:sz="4" w:space="0" w:color="auto"/>
            </w:tcBorders>
            <w:noWrap/>
            <w:vAlign w:val="center"/>
          </w:tcPr>
          <w:p w:rsidR="009166AD" w:rsidRPr="0048391A" w:rsidRDefault="009166AD" w:rsidP="00646DE4">
            <w:pPr>
              <w:jc w:val="center"/>
            </w:pPr>
            <w:r w:rsidRPr="0048391A">
              <w:t>1.2</w:t>
            </w:r>
          </w:p>
        </w:tc>
        <w:tc>
          <w:tcPr>
            <w:tcW w:w="600" w:type="dxa"/>
            <w:tcBorders>
              <w:top w:val="single" w:sz="4" w:space="0" w:color="auto"/>
              <w:left w:val="nil"/>
              <w:bottom w:val="single" w:sz="12" w:space="0" w:color="auto"/>
              <w:right w:val="single" w:sz="4" w:space="0" w:color="auto"/>
            </w:tcBorders>
            <w:noWrap/>
            <w:vAlign w:val="center"/>
          </w:tcPr>
          <w:p w:rsidR="009166AD" w:rsidRPr="0048391A" w:rsidRDefault="009166AD" w:rsidP="00646DE4">
            <w:pPr>
              <w:jc w:val="center"/>
            </w:pPr>
            <w:r w:rsidRPr="0048391A">
              <w:t>1.2</w:t>
            </w:r>
          </w:p>
        </w:tc>
        <w:tc>
          <w:tcPr>
            <w:tcW w:w="600" w:type="dxa"/>
            <w:tcBorders>
              <w:top w:val="single" w:sz="4" w:space="0" w:color="auto"/>
              <w:left w:val="nil"/>
              <w:bottom w:val="single" w:sz="12" w:space="0" w:color="auto"/>
              <w:right w:val="single" w:sz="4" w:space="0" w:color="auto"/>
            </w:tcBorders>
            <w:shd w:val="clear" w:color="000000" w:fill="D8D8D8"/>
            <w:noWrap/>
            <w:vAlign w:val="center"/>
          </w:tcPr>
          <w:p w:rsidR="009166AD" w:rsidRPr="0048391A" w:rsidRDefault="009166AD" w:rsidP="00646DE4">
            <w:pPr>
              <w:jc w:val="center"/>
            </w:pPr>
            <w:r w:rsidRPr="0048391A">
              <w:t>1.2</w:t>
            </w:r>
          </w:p>
        </w:tc>
        <w:tc>
          <w:tcPr>
            <w:tcW w:w="600" w:type="dxa"/>
            <w:tcBorders>
              <w:top w:val="single" w:sz="4" w:space="0" w:color="auto"/>
              <w:left w:val="nil"/>
              <w:bottom w:val="single" w:sz="12" w:space="0" w:color="auto"/>
              <w:right w:val="single" w:sz="4" w:space="0" w:color="auto"/>
            </w:tcBorders>
            <w:shd w:val="clear" w:color="000000" w:fill="D8D8D8"/>
            <w:noWrap/>
            <w:vAlign w:val="center"/>
          </w:tcPr>
          <w:p w:rsidR="009166AD" w:rsidRPr="0048391A" w:rsidRDefault="009166AD" w:rsidP="00646DE4">
            <w:pPr>
              <w:jc w:val="center"/>
            </w:pPr>
            <w:r w:rsidRPr="0048391A">
              <w:t>1.2</w:t>
            </w:r>
          </w:p>
        </w:tc>
        <w:tc>
          <w:tcPr>
            <w:tcW w:w="600" w:type="dxa"/>
            <w:tcBorders>
              <w:top w:val="single" w:sz="4" w:space="0" w:color="auto"/>
              <w:left w:val="nil"/>
              <w:bottom w:val="single" w:sz="12" w:space="0" w:color="auto"/>
              <w:right w:val="single" w:sz="4" w:space="0" w:color="auto"/>
            </w:tcBorders>
            <w:shd w:val="clear" w:color="000000" w:fill="D8D8D8"/>
            <w:noWrap/>
            <w:vAlign w:val="center"/>
          </w:tcPr>
          <w:p w:rsidR="009166AD" w:rsidRPr="0048391A" w:rsidRDefault="009166AD" w:rsidP="00646DE4">
            <w:pPr>
              <w:jc w:val="center"/>
            </w:pPr>
            <w:r w:rsidRPr="0048391A">
              <w:t>1.2</w:t>
            </w:r>
          </w:p>
        </w:tc>
        <w:tc>
          <w:tcPr>
            <w:tcW w:w="600" w:type="dxa"/>
            <w:tcBorders>
              <w:top w:val="single" w:sz="4" w:space="0" w:color="auto"/>
              <w:left w:val="nil"/>
              <w:bottom w:val="single" w:sz="12" w:space="0" w:color="auto"/>
              <w:right w:val="single" w:sz="4" w:space="0" w:color="auto"/>
            </w:tcBorders>
            <w:shd w:val="clear" w:color="000000" w:fill="D8D8D8"/>
            <w:noWrap/>
            <w:vAlign w:val="center"/>
          </w:tcPr>
          <w:p w:rsidR="009166AD" w:rsidRPr="0048391A" w:rsidRDefault="009166AD" w:rsidP="00646DE4">
            <w:pPr>
              <w:jc w:val="center"/>
            </w:pPr>
            <w:r w:rsidRPr="0048391A">
              <w:t>1.2</w:t>
            </w:r>
          </w:p>
        </w:tc>
        <w:tc>
          <w:tcPr>
            <w:tcW w:w="600" w:type="dxa"/>
            <w:tcBorders>
              <w:top w:val="single" w:sz="4" w:space="0" w:color="auto"/>
              <w:left w:val="nil"/>
              <w:bottom w:val="single" w:sz="12" w:space="0" w:color="auto"/>
              <w:right w:val="single" w:sz="12" w:space="0" w:color="auto"/>
            </w:tcBorders>
            <w:shd w:val="clear" w:color="000000" w:fill="D8D8D8"/>
            <w:noWrap/>
            <w:vAlign w:val="center"/>
          </w:tcPr>
          <w:p w:rsidR="009166AD" w:rsidRPr="0048391A" w:rsidRDefault="009166AD" w:rsidP="00646DE4">
            <w:pPr>
              <w:jc w:val="center"/>
            </w:pPr>
            <w:r w:rsidRPr="0048391A">
              <w:t>1.2</w:t>
            </w:r>
          </w:p>
        </w:tc>
      </w:tr>
    </w:tbl>
    <w:p w:rsidR="009166AD" w:rsidRDefault="009166AD" w:rsidP="009166AD"/>
    <w:p w:rsidR="009166AD" w:rsidRDefault="009166AD" w:rsidP="009166AD">
      <w:r>
        <w:t xml:space="preserve">With these updated household numbers and with the assumption that previous relationships remain constant through the period of interest, </w:t>
      </w:r>
      <w:r w:rsidR="000970B0">
        <w:t>we</w:t>
      </w:r>
      <w:r>
        <w:t xml:space="preserve"> produced the estimated number of CFLs in use per home at the end of each year.</w:t>
      </w:r>
    </w:p>
    <w:p w:rsidR="009166AD" w:rsidRPr="00281198" w:rsidRDefault="009166AD" w:rsidP="009166AD">
      <w:r>
        <w:t>Finally, we calculated the increment in CFL saturation for each year</w:t>
      </w:r>
      <w:r>
        <w:rPr>
          <w:i/>
        </w:rPr>
        <w:t xml:space="preserv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sat,y</m:t>
            </m:r>
          </m:sub>
        </m:sSub>
      </m:oMath>
      <w:r>
        <w:rPr>
          <w:i/>
        </w:rPr>
        <w:t xml:space="preserve">, </w:t>
      </w:r>
      <w:r>
        <w:t xml:space="preserve">as the ratio of the increment in number of CFLs in use per home in that year,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cfl,y</m:t>
            </m:r>
          </m:sub>
        </m:sSub>
      </m:oMath>
      <w:r>
        <w:t xml:space="preserve">, to the average number of sockets in each household.  The CFL increment is the projected number of CFLs in use in year </w:t>
      </w:r>
      <w:r>
        <w:rPr>
          <w:i/>
        </w:rPr>
        <w:t>y</w:t>
      </w:r>
      <w:r>
        <w:t xml:space="preserve"> minus the number of CFLs in 2008, the base year.  The number of sockets is the average number of sockets in the household, for each IOU.  Note that the subscript for each scenario is omitted; in practice each value of </w:t>
      </w:r>
      <w:r>
        <w:rPr>
          <w:i/>
        </w:rPr>
        <w:t>y</w:t>
      </w:r>
      <w:r>
        <w:t xml:space="preserve"> is a combination of year and scenario.</w:t>
      </w:r>
    </w:p>
    <w:p w:rsidR="009166AD" w:rsidRDefault="006A387D" w:rsidP="009166AD">
      <m:oMathPara>
        <m:oMath>
          <m:sSub>
            <m:sSubPr>
              <m:ctrlPr>
                <w:rPr>
                  <w:rFonts w:ascii="Cambria Math" w:hAnsi="Cambria Math"/>
                </w:rPr>
              </m:ctrlPr>
            </m:sSubPr>
            <m:e>
              <m:r>
                <m:rPr>
                  <m:sty m:val="p"/>
                </m:rPr>
                <w:rPr>
                  <w:rFonts w:ascii="Cambria Math" w:hAnsi="Cambria Math"/>
                </w:rPr>
                <m:t>Δ</m:t>
              </m:r>
            </m:e>
            <m:sub>
              <m:r>
                <w:rPr>
                  <w:rFonts w:ascii="Cambria Math" w:hAnsi="Cambria Math"/>
                </w:rPr>
                <m:t>sat</m:t>
              </m:r>
              <m:r>
                <m:rPr>
                  <m:sty m:val="p"/>
                </m:rPr>
                <w:rPr>
                  <w:rFonts w:ascii="Cambria Math" w:hAnsi="Cambria Math"/>
                </w:rPr>
                <m:t>,</m:t>
              </m:r>
              <m:r>
                <w:rPr>
                  <w:rFonts w:ascii="Cambria Math" w:hAnsi="Cambria Math"/>
                </w:rPr>
                <m:t>y</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Δ</m:t>
                  </m:r>
                </m:e>
                <m:sub>
                  <m:r>
                    <w:rPr>
                      <w:rFonts w:ascii="Cambria Math" w:hAnsi="Cambria Math"/>
                    </w:rPr>
                    <m:t>cfl</m:t>
                  </m:r>
                  <m:r>
                    <m:rPr>
                      <m:sty m:val="p"/>
                    </m:rPr>
                    <w:rPr>
                      <w:rFonts w:ascii="Cambria Math" w:hAnsi="Cambria Math"/>
                    </w:rPr>
                    <m:t>,</m:t>
                  </m:r>
                  <m:r>
                    <w:rPr>
                      <w:rFonts w:ascii="Cambria Math" w:hAnsi="Cambria Math"/>
                    </w:rPr>
                    <m:t>y</m:t>
                  </m:r>
                </m:sub>
              </m:sSub>
            </m:num>
            <m:den>
              <m:r>
                <m:rPr>
                  <m:sty m:val="p"/>
                </m:rPr>
                <w:rPr>
                  <w:rFonts w:ascii="Cambria Math" w:hAnsi="Cambria Math"/>
                </w:rPr>
                <m:t>#</m:t>
              </m:r>
              <m:r>
                <w:rPr>
                  <w:rFonts w:ascii="Cambria Math" w:hAnsi="Cambria Math"/>
                </w:rPr>
                <m:t>sockets</m:t>
              </m:r>
            </m:den>
          </m:f>
          <m:r>
            <m:rPr>
              <m:sty m:val="p"/>
            </m:rPr>
            <w:rPr>
              <w:rFonts w:ascii="Cambria Math" w:hAnsi="Cambria Math"/>
            </w:rPr>
            <m:t xml:space="preserve">= </m:t>
          </m:r>
          <m:f>
            <m:fPr>
              <m:ctrlPr>
                <w:rPr>
                  <w:rFonts w:ascii="Cambria Math" w:hAnsi="Cambria Math"/>
                </w:rPr>
              </m:ctrlPr>
            </m:fPr>
            <m:num>
              <m:d>
                <m:dPr>
                  <m:ctrlPr>
                    <w:rPr>
                      <w:rFonts w:ascii="Cambria Math" w:hAnsi="Cambria Math"/>
                    </w:rPr>
                  </m:ctrlPr>
                </m:dPr>
                <m:e>
                  <m:r>
                    <m:rPr>
                      <m:sty m:val="p"/>
                    </m:rPr>
                    <w:rPr>
                      <w:rFonts w:ascii="Cambria Math" w:hAnsi="Cambria Math"/>
                    </w:rPr>
                    <m:t>#</m:t>
                  </m:r>
                  <m:r>
                    <w:rPr>
                      <w:rFonts w:ascii="Cambria Math" w:hAnsi="Cambria Math"/>
                    </w:rPr>
                    <m:t>CFL</m:t>
                  </m:r>
                  <m:sSub>
                    <m:sSubPr>
                      <m:ctrlPr>
                        <w:rPr>
                          <w:rFonts w:ascii="Cambria Math" w:hAnsi="Cambria Math"/>
                        </w:rPr>
                      </m:ctrlPr>
                    </m:sSubPr>
                    <m:e>
                      <m:r>
                        <w:rPr>
                          <w:rFonts w:ascii="Cambria Math" w:hAnsi="Cambria Math"/>
                        </w:rPr>
                        <m:t>s</m:t>
                      </m:r>
                    </m:e>
                    <m:sub>
                      <m:r>
                        <w:rPr>
                          <w:rFonts w:ascii="Cambria Math" w:hAnsi="Cambria Math"/>
                        </w:rPr>
                        <m:t>y</m:t>
                      </m:r>
                    </m:sub>
                  </m:sSub>
                  <m:r>
                    <m:rPr>
                      <m:sty m:val="p"/>
                    </m:rPr>
                    <w:rPr>
                      <w:rFonts w:ascii="Cambria Math" w:hAnsi="Cambria Math"/>
                    </w:rPr>
                    <m:t>- #</m:t>
                  </m:r>
                  <m:r>
                    <w:rPr>
                      <w:rFonts w:ascii="Cambria Math" w:hAnsi="Cambria Math"/>
                    </w:rPr>
                    <m:t>CFL</m:t>
                  </m:r>
                  <m:sSub>
                    <m:sSubPr>
                      <m:ctrlPr>
                        <w:rPr>
                          <w:rFonts w:ascii="Cambria Math" w:hAnsi="Cambria Math"/>
                        </w:rPr>
                      </m:ctrlPr>
                    </m:sSubPr>
                    <m:e>
                      <m:r>
                        <w:rPr>
                          <w:rFonts w:ascii="Cambria Math" w:hAnsi="Cambria Math"/>
                        </w:rPr>
                        <m:t>s</m:t>
                      </m:r>
                    </m:e>
                    <m:sub>
                      <m:r>
                        <m:rPr>
                          <m:sty m:val="p"/>
                        </m:rPr>
                        <w:rPr>
                          <w:rFonts w:ascii="Cambria Math" w:hAnsi="Cambria Math"/>
                        </w:rPr>
                        <m:t>2008</m:t>
                      </m:r>
                    </m:sub>
                  </m:sSub>
                </m:e>
              </m:d>
            </m:num>
            <m:den>
              <m:r>
                <m:rPr>
                  <m:sty m:val="p"/>
                </m:rPr>
                <w:rPr>
                  <w:rFonts w:ascii="Cambria Math" w:hAnsi="Cambria Math"/>
                </w:rPr>
                <m:t>#</m:t>
              </m:r>
              <m:r>
                <w:rPr>
                  <w:rFonts w:ascii="Cambria Math" w:hAnsi="Cambria Math"/>
                </w:rPr>
                <m:t>sockets</m:t>
              </m:r>
            </m:den>
          </m:f>
        </m:oMath>
      </m:oMathPara>
    </w:p>
    <w:p w:rsidR="009166AD" w:rsidRDefault="009166AD" w:rsidP="009166AD">
      <w:r>
        <w:t xml:space="preserve">The estimated values for CFL saturation increment are shown in </w:t>
      </w:r>
      <w:fldSimple w:instr=" REF _Ref307563252 ">
        <w:r>
          <w:t xml:space="preserve">Table </w:t>
        </w:r>
        <w:r>
          <w:rPr>
            <w:noProof/>
          </w:rPr>
          <w:t>3</w:t>
        </w:r>
        <w:r>
          <w:noBreakHyphen/>
        </w:r>
        <w:r>
          <w:rPr>
            <w:noProof/>
          </w:rPr>
          <w:t>5</w:t>
        </w:r>
      </w:fldSimple>
      <w:r>
        <w:t>.</w:t>
      </w:r>
    </w:p>
    <w:p w:rsidR="009166AD" w:rsidRDefault="009166AD" w:rsidP="009166AD">
      <w:pPr>
        <w:spacing w:after="130"/>
        <w:ind w:left="720" w:hanging="432"/>
      </w:pPr>
      <w:r>
        <w:br w:type="page"/>
      </w:r>
    </w:p>
    <w:p w:rsidR="009166AD" w:rsidRDefault="009166AD" w:rsidP="009166AD">
      <w:pPr>
        <w:pStyle w:val="Caption"/>
      </w:pPr>
      <w:bookmarkStart w:id="6" w:name="_Ref307563252"/>
      <w:bookmarkStart w:id="7" w:name="_Ref305402578"/>
      <w:r>
        <w:lastRenderedPageBreak/>
        <w:t xml:space="preserve">Table </w:t>
      </w:r>
      <w:fldSimple w:instr=" STYLEREF 1 \s ">
        <w:r>
          <w:rPr>
            <w:noProof/>
          </w:rPr>
          <w:t>3</w:t>
        </w:r>
      </w:fldSimple>
      <w:r>
        <w:noBreakHyphen/>
      </w:r>
      <w:fldSimple w:instr=" SEQ Table \* ARABIC \s 1 ">
        <w:r>
          <w:rPr>
            <w:noProof/>
          </w:rPr>
          <w:t>5</w:t>
        </w:r>
      </w:fldSimple>
      <w:bookmarkEnd w:id="6"/>
      <w:r>
        <w:t xml:space="preserve">: </w:t>
      </w:r>
      <w:bookmarkEnd w:id="7"/>
      <w:r>
        <w:t>CFL Saturation Increment by IOU and IOU</w:t>
      </w:r>
    </w:p>
    <w:tbl>
      <w:tblPr>
        <w:tblW w:w="9160" w:type="dxa"/>
        <w:jc w:val="center"/>
        <w:tblInd w:w="108" w:type="dxa"/>
        <w:tblLook w:val="00A0"/>
      </w:tblPr>
      <w:tblGrid>
        <w:gridCol w:w="980"/>
        <w:gridCol w:w="640"/>
        <w:gridCol w:w="1060"/>
        <w:gridCol w:w="1080"/>
        <w:gridCol w:w="1080"/>
        <w:gridCol w:w="1080"/>
        <w:gridCol w:w="1080"/>
        <w:gridCol w:w="1080"/>
        <w:gridCol w:w="1080"/>
      </w:tblGrid>
      <w:tr w:rsidR="009166AD" w:rsidRPr="0048391A" w:rsidTr="00646DE4">
        <w:trPr>
          <w:trHeight w:val="300"/>
          <w:jc w:val="center"/>
        </w:trPr>
        <w:tc>
          <w:tcPr>
            <w:tcW w:w="980" w:type="dxa"/>
            <w:tcBorders>
              <w:top w:val="nil"/>
              <w:left w:val="nil"/>
              <w:bottom w:val="nil"/>
              <w:right w:val="nil"/>
            </w:tcBorders>
            <w:noWrap/>
            <w:vAlign w:val="center"/>
          </w:tcPr>
          <w:p w:rsidR="009166AD" w:rsidRPr="0048391A" w:rsidRDefault="009166AD" w:rsidP="00646DE4">
            <w:pPr>
              <w:spacing w:after="0"/>
              <w:rPr>
                <w:sz w:val="18"/>
                <w:szCs w:val="18"/>
              </w:rPr>
            </w:pPr>
          </w:p>
        </w:tc>
        <w:tc>
          <w:tcPr>
            <w:tcW w:w="640" w:type="dxa"/>
            <w:tcBorders>
              <w:top w:val="nil"/>
              <w:left w:val="nil"/>
              <w:bottom w:val="nil"/>
              <w:right w:val="nil"/>
            </w:tcBorders>
            <w:noWrap/>
            <w:vAlign w:val="center"/>
          </w:tcPr>
          <w:p w:rsidR="009166AD" w:rsidRPr="0048391A" w:rsidRDefault="009166AD" w:rsidP="00646DE4">
            <w:pPr>
              <w:spacing w:after="0"/>
              <w:rPr>
                <w:sz w:val="18"/>
                <w:szCs w:val="18"/>
              </w:rPr>
            </w:pPr>
          </w:p>
        </w:tc>
        <w:tc>
          <w:tcPr>
            <w:tcW w:w="1060" w:type="dxa"/>
            <w:tcBorders>
              <w:top w:val="nil"/>
              <w:left w:val="nil"/>
              <w:bottom w:val="nil"/>
              <w:right w:val="single" w:sz="12" w:space="0" w:color="auto"/>
            </w:tcBorders>
            <w:noWrap/>
            <w:vAlign w:val="center"/>
          </w:tcPr>
          <w:p w:rsidR="009166AD" w:rsidRPr="0048391A" w:rsidRDefault="009166AD" w:rsidP="00646DE4">
            <w:pPr>
              <w:spacing w:after="0"/>
              <w:rPr>
                <w:sz w:val="18"/>
                <w:szCs w:val="18"/>
              </w:rPr>
            </w:pPr>
          </w:p>
        </w:tc>
        <w:tc>
          <w:tcPr>
            <w:tcW w:w="6480" w:type="dxa"/>
            <w:gridSpan w:val="6"/>
            <w:tcBorders>
              <w:top w:val="single" w:sz="12" w:space="0" w:color="auto"/>
              <w:left w:val="single" w:sz="12" w:space="0" w:color="auto"/>
              <w:bottom w:val="single" w:sz="8" w:space="0" w:color="auto"/>
              <w:right w:val="single" w:sz="12" w:space="0" w:color="auto"/>
            </w:tcBorders>
            <w:noWrap/>
            <w:vAlign w:val="center"/>
          </w:tcPr>
          <w:p w:rsidR="009166AD" w:rsidRPr="0048391A" w:rsidRDefault="009166AD" w:rsidP="00646DE4">
            <w:pPr>
              <w:spacing w:after="0"/>
              <w:rPr>
                <w:b/>
                <w:sz w:val="18"/>
                <w:szCs w:val="18"/>
              </w:rPr>
            </w:pPr>
            <w:r w:rsidRPr="0048391A">
              <w:rPr>
                <w:b/>
                <w:sz w:val="18"/>
                <w:szCs w:val="18"/>
              </w:rPr>
              <w:t>Scenario</w:t>
            </w:r>
          </w:p>
        </w:tc>
      </w:tr>
      <w:tr w:rsidR="009166AD" w:rsidRPr="0048391A" w:rsidTr="00646DE4">
        <w:trPr>
          <w:trHeight w:val="300"/>
          <w:jc w:val="center"/>
        </w:trPr>
        <w:tc>
          <w:tcPr>
            <w:tcW w:w="980" w:type="dxa"/>
            <w:tcBorders>
              <w:top w:val="nil"/>
              <w:left w:val="nil"/>
              <w:bottom w:val="single" w:sz="12" w:space="0" w:color="auto"/>
              <w:right w:val="nil"/>
            </w:tcBorders>
            <w:noWrap/>
            <w:vAlign w:val="center"/>
          </w:tcPr>
          <w:p w:rsidR="009166AD" w:rsidRPr="0048391A" w:rsidRDefault="009166AD" w:rsidP="00646DE4">
            <w:pPr>
              <w:spacing w:after="0"/>
              <w:rPr>
                <w:sz w:val="18"/>
                <w:szCs w:val="18"/>
              </w:rPr>
            </w:pPr>
          </w:p>
        </w:tc>
        <w:tc>
          <w:tcPr>
            <w:tcW w:w="640" w:type="dxa"/>
            <w:tcBorders>
              <w:top w:val="nil"/>
              <w:left w:val="nil"/>
              <w:bottom w:val="single" w:sz="12" w:space="0" w:color="auto"/>
              <w:right w:val="nil"/>
            </w:tcBorders>
            <w:noWrap/>
            <w:vAlign w:val="center"/>
          </w:tcPr>
          <w:p w:rsidR="009166AD" w:rsidRPr="0048391A" w:rsidRDefault="009166AD" w:rsidP="00646DE4">
            <w:pPr>
              <w:spacing w:after="0"/>
              <w:rPr>
                <w:sz w:val="18"/>
                <w:szCs w:val="18"/>
              </w:rPr>
            </w:pPr>
          </w:p>
        </w:tc>
        <w:tc>
          <w:tcPr>
            <w:tcW w:w="1060" w:type="dxa"/>
            <w:tcBorders>
              <w:top w:val="nil"/>
              <w:left w:val="nil"/>
              <w:bottom w:val="single" w:sz="12" w:space="0" w:color="auto"/>
              <w:right w:val="single" w:sz="12" w:space="0" w:color="auto"/>
            </w:tcBorders>
            <w:noWrap/>
            <w:vAlign w:val="center"/>
          </w:tcPr>
          <w:p w:rsidR="009166AD" w:rsidRPr="0048391A" w:rsidRDefault="009166AD" w:rsidP="00646DE4">
            <w:pPr>
              <w:spacing w:after="0"/>
              <w:rPr>
                <w:sz w:val="18"/>
                <w:szCs w:val="18"/>
              </w:rPr>
            </w:pPr>
          </w:p>
        </w:tc>
        <w:tc>
          <w:tcPr>
            <w:tcW w:w="3240" w:type="dxa"/>
            <w:gridSpan w:val="3"/>
            <w:tcBorders>
              <w:top w:val="single" w:sz="8" w:space="0" w:color="auto"/>
              <w:left w:val="single" w:sz="12" w:space="0" w:color="auto"/>
              <w:bottom w:val="single" w:sz="12" w:space="0" w:color="auto"/>
              <w:right w:val="single" w:sz="12" w:space="0" w:color="auto"/>
            </w:tcBorders>
            <w:noWrap/>
            <w:vAlign w:val="center"/>
          </w:tcPr>
          <w:p w:rsidR="009166AD" w:rsidRPr="0048391A" w:rsidRDefault="009166AD" w:rsidP="00646DE4">
            <w:pPr>
              <w:spacing w:after="0"/>
              <w:rPr>
                <w:b/>
                <w:sz w:val="18"/>
                <w:szCs w:val="18"/>
              </w:rPr>
            </w:pPr>
            <w:r w:rsidRPr="0048391A">
              <w:rPr>
                <w:b/>
                <w:sz w:val="18"/>
                <w:szCs w:val="18"/>
              </w:rPr>
              <w:t>Constant</w:t>
            </w:r>
          </w:p>
        </w:tc>
        <w:tc>
          <w:tcPr>
            <w:tcW w:w="3240" w:type="dxa"/>
            <w:gridSpan w:val="3"/>
            <w:tcBorders>
              <w:top w:val="single" w:sz="8" w:space="0" w:color="auto"/>
              <w:left w:val="single" w:sz="12" w:space="0" w:color="auto"/>
              <w:bottom w:val="single" w:sz="12" w:space="0" w:color="auto"/>
              <w:right w:val="single" w:sz="12" w:space="0" w:color="auto"/>
            </w:tcBorders>
            <w:noWrap/>
            <w:vAlign w:val="center"/>
          </w:tcPr>
          <w:p w:rsidR="009166AD" w:rsidRPr="0048391A" w:rsidRDefault="009166AD" w:rsidP="00646DE4">
            <w:pPr>
              <w:spacing w:after="0"/>
              <w:rPr>
                <w:b/>
                <w:sz w:val="18"/>
                <w:szCs w:val="18"/>
              </w:rPr>
            </w:pPr>
            <w:r w:rsidRPr="0048391A">
              <w:rPr>
                <w:b/>
                <w:sz w:val="18"/>
                <w:szCs w:val="18"/>
              </w:rPr>
              <w:t>Half</w:t>
            </w:r>
          </w:p>
        </w:tc>
      </w:tr>
      <w:tr w:rsidR="009166AD" w:rsidRPr="0048391A" w:rsidTr="00646DE4">
        <w:trPr>
          <w:trHeight w:val="1500"/>
          <w:jc w:val="center"/>
        </w:trPr>
        <w:tc>
          <w:tcPr>
            <w:tcW w:w="980" w:type="dxa"/>
            <w:tcBorders>
              <w:top w:val="single" w:sz="12" w:space="0" w:color="auto"/>
              <w:left w:val="single" w:sz="12" w:space="0" w:color="auto"/>
              <w:bottom w:val="single" w:sz="4" w:space="0" w:color="auto"/>
              <w:right w:val="single" w:sz="4" w:space="0" w:color="auto"/>
            </w:tcBorders>
            <w:shd w:val="pct20" w:color="auto" w:fill="auto"/>
            <w:vAlign w:val="center"/>
          </w:tcPr>
          <w:p w:rsidR="009166AD" w:rsidRPr="000C3BB5" w:rsidRDefault="009166AD" w:rsidP="00646DE4">
            <w:pPr>
              <w:spacing w:after="0"/>
              <w:jc w:val="center"/>
              <w:rPr>
                <w:b/>
                <w:sz w:val="18"/>
                <w:szCs w:val="18"/>
              </w:rPr>
            </w:pPr>
            <w:r>
              <w:rPr>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0" cy="142875"/>
                  <wp:effectExtent l="19050" t="0" r="0" b="0"/>
                  <wp:wrapNone/>
                  <wp:docPr id="2" name="Picture 3"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hidden="1"/>
                          <pic:cNvPicPr>
                            <a:picLocks noChangeAspect="1" noChangeArrowheads="1"/>
                          </pic:cNvPicPr>
                        </pic:nvPicPr>
                        <pic:blipFill>
                          <a:blip r:embed="rId8" cstate="print"/>
                          <a:srcRect/>
                          <a:stretch>
                            <a:fillRect/>
                          </a:stretch>
                        </pic:blipFill>
                        <pic:spPr bwMode="auto">
                          <a:xfrm>
                            <a:off x="0" y="0"/>
                            <a:ext cx="190500" cy="142875"/>
                          </a:xfrm>
                          <a:prstGeom prst="rect">
                            <a:avLst/>
                          </a:prstGeom>
                          <a:noFill/>
                        </pic:spPr>
                      </pic:pic>
                    </a:graphicData>
                  </a:graphic>
                </wp:anchor>
              </w:drawing>
            </w:r>
            <w:r w:rsidRPr="000C3BB5">
              <w:rPr>
                <w:b/>
                <w:sz w:val="18"/>
                <w:szCs w:val="18"/>
              </w:rPr>
              <w:t>IOU</w:t>
            </w:r>
          </w:p>
        </w:tc>
        <w:tc>
          <w:tcPr>
            <w:tcW w:w="640" w:type="dxa"/>
            <w:tcBorders>
              <w:top w:val="single" w:sz="12" w:space="0" w:color="auto"/>
              <w:left w:val="nil"/>
              <w:bottom w:val="single" w:sz="4" w:space="0" w:color="auto"/>
              <w:right w:val="single" w:sz="4" w:space="0" w:color="auto"/>
            </w:tcBorders>
            <w:shd w:val="pct20" w:color="auto" w:fill="auto"/>
            <w:vAlign w:val="center"/>
          </w:tcPr>
          <w:p w:rsidR="009166AD" w:rsidRPr="000C3BB5" w:rsidRDefault="009166AD" w:rsidP="00646DE4">
            <w:pPr>
              <w:spacing w:after="0"/>
              <w:jc w:val="center"/>
              <w:rPr>
                <w:b/>
                <w:sz w:val="18"/>
                <w:szCs w:val="18"/>
              </w:rPr>
            </w:pPr>
            <w:r w:rsidRPr="000C3BB5">
              <w:rPr>
                <w:b/>
                <w:sz w:val="18"/>
                <w:szCs w:val="18"/>
              </w:rPr>
              <w:t>Year</w:t>
            </w:r>
          </w:p>
        </w:tc>
        <w:tc>
          <w:tcPr>
            <w:tcW w:w="1060" w:type="dxa"/>
            <w:tcBorders>
              <w:top w:val="single" w:sz="12" w:space="0" w:color="auto"/>
              <w:left w:val="nil"/>
              <w:bottom w:val="single" w:sz="4" w:space="0" w:color="auto"/>
              <w:right w:val="nil"/>
            </w:tcBorders>
            <w:shd w:val="pct20" w:color="auto" w:fill="auto"/>
            <w:vAlign w:val="center"/>
          </w:tcPr>
          <w:p w:rsidR="009166AD" w:rsidRPr="000C3BB5" w:rsidRDefault="009166AD" w:rsidP="00646DE4">
            <w:pPr>
              <w:spacing w:after="0"/>
              <w:jc w:val="center"/>
              <w:rPr>
                <w:b/>
                <w:sz w:val="18"/>
                <w:szCs w:val="18"/>
              </w:rPr>
            </w:pPr>
            <w:r w:rsidRPr="000C3BB5">
              <w:rPr>
                <w:b/>
                <w:sz w:val="18"/>
                <w:szCs w:val="18"/>
              </w:rPr>
              <w:t>Average Number of Sockets</w:t>
            </w:r>
          </w:p>
        </w:tc>
        <w:tc>
          <w:tcPr>
            <w:tcW w:w="1080" w:type="dxa"/>
            <w:tcBorders>
              <w:top w:val="single" w:sz="12" w:space="0" w:color="auto"/>
              <w:left w:val="single" w:sz="4" w:space="0" w:color="auto"/>
              <w:bottom w:val="single" w:sz="4" w:space="0" w:color="auto"/>
              <w:right w:val="single" w:sz="4" w:space="0" w:color="auto"/>
            </w:tcBorders>
            <w:shd w:val="pct20" w:color="auto" w:fill="auto"/>
            <w:vAlign w:val="center"/>
          </w:tcPr>
          <w:p w:rsidR="009166AD" w:rsidRPr="000C3BB5" w:rsidRDefault="009166AD" w:rsidP="00646DE4">
            <w:pPr>
              <w:spacing w:after="0"/>
              <w:jc w:val="center"/>
              <w:rPr>
                <w:b/>
                <w:sz w:val="18"/>
                <w:szCs w:val="18"/>
              </w:rPr>
            </w:pPr>
            <w:r w:rsidRPr="000C3BB5">
              <w:rPr>
                <w:b/>
                <w:sz w:val="18"/>
                <w:szCs w:val="18"/>
              </w:rPr>
              <w:t>CFLs in Use per Home</w:t>
            </w:r>
          </w:p>
        </w:tc>
        <w:tc>
          <w:tcPr>
            <w:tcW w:w="1080" w:type="dxa"/>
            <w:tcBorders>
              <w:top w:val="single" w:sz="12" w:space="0" w:color="auto"/>
              <w:left w:val="nil"/>
              <w:bottom w:val="single" w:sz="4" w:space="0" w:color="auto"/>
              <w:right w:val="single" w:sz="4" w:space="0" w:color="auto"/>
            </w:tcBorders>
            <w:shd w:val="pct20" w:color="auto" w:fill="auto"/>
            <w:vAlign w:val="center"/>
          </w:tcPr>
          <w:p w:rsidR="009166AD" w:rsidRPr="000C3BB5" w:rsidRDefault="009166AD" w:rsidP="00646DE4">
            <w:pPr>
              <w:spacing w:after="0"/>
              <w:jc w:val="center"/>
              <w:rPr>
                <w:b/>
                <w:sz w:val="18"/>
                <w:szCs w:val="18"/>
              </w:rPr>
            </w:pPr>
            <w:r w:rsidRPr="000C3BB5">
              <w:rPr>
                <w:b/>
                <w:sz w:val="18"/>
                <w:szCs w:val="18"/>
              </w:rPr>
              <w:t>Increment in CFLs (Base 2008)</w:t>
            </w:r>
          </w:p>
        </w:tc>
        <w:tc>
          <w:tcPr>
            <w:tcW w:w="1080" w:type="dxa"/>
            <w:tcBorders>
              <w:top w:val="single" w:sz="12" w:space="0" w:color="auto"/>
              <w:left w:val="nil"/>
              <w:bottom w:val="single" w:sz="4" w:space="0" w:color="auto"/>
              <w:right w:val="single" w:sz="4" w:space="0" w:color="auto"/>
            </w:tcBorders>
            <w:shd w:val="pct20" w:color="auto" w:fill="auto"/>
            <w:vAlign w:val="center"/>
          </w:tcPr>
          <w:p w:rsidR="009166AD" w:rsidRPr="000C3BB5" w:rsidRDefault="009166AD" w:rsidP="00646DE4">
            <w:pPr>
              <w:spacing w:after="0"/>
              <w:jc w:val="center"/>
              <w:rPr>
                <w:b/>
                <w:sz w:val="18"/>
                <w:szCs w:val="18"/>
              </w:rPr>
            </w:pPr>
            <w:r w:rsidRPr="000C3BB5">
              <w:rPr>
                <w:b/>
                <w:sz w:val="18"/>
                <w:szCs w:val="18"/>
              </w:rPr>
              <w:t>CFL Saturation Increment (Base 2008)</w:t>
            </w:r>
          </w:p>
        </w:tc>
        <w:tc>
          <w:tcPr>
            <w:tcW w:w="1080" w:type="dxa"/>
            <w:tcBorders>
              <w:top w:val="single" w:sz="12" w:space="0" w:color="auto"/>
              <w:left w:val="nil"/>
              <w:bottom w:val="single" w:sz="4" w:space="0" w:color="auto"/>
              <w:right w:val="single" w:sz="4" w:space="0" w:color="auto"/>
            </w:tcBorders>
            <w:shd w:val="pct20" w:color="auto" w:fill="auto"/>
            <w:vAlign w:val="center"/>
          </w:tcPr>
          <w:p w:rsidR="009166AD" w:rsidRPr="000C3BB5" w:rsidRDefault="009166AD" w:rsidP="00646DE4">
            <w:pPr>
              <w:spacing w:after="0"/>
              <w:jc w:val="center"/>
              <w:rPr>
                <w:b/>
                <w:sz w:val="18"/>
                <w:szCs w:val="18"/>
              </w:rPr>
            </w:pPr>
            <w:r w:rsidRPr="000C3BB5">
              <w:rPr>
                <w:b/>
                <w:sz w:val="18"/>
                <w:szCs w:val="18"/>
              </w:rPr>
              <w:t>CFLs in Use per Home</w:t>
            </w:r>
          </w:p>
        </w:tc>
        <w:tc>
          <w:tcPr>
            <w:tcW w:w="1080" w:type="dxa"/>
            <w:tcBorders>
              <w:top w:val="single" w:sz="12" w:space="0" w:color="auto"/>
              <w:left w:val="nil"/>
              <w:bottom w:val="single" w:sz="4" w:space="0" w:color="auto"/>
              <w:right w:val="single" w:sz="4" w:space="0" w:color="auto"/>
            </w:tcBorders>
            <w:shd w:val="pct20" w:color="auto" w:fill="auto"/>
            <w:vAlign w:val="center"/>
          </w:tcPr>
          <w:p w:rsidR="009166AD" w:rsidRPr="000C3BB5" w:rsidRDefault="009166AD" w:rsidP="00646DE4">
            <w:pPr>
              <w:spacing w:after="0"/>
              <w:jc w:val="center"/>
              <w:rPr>
                <w:b/>
                <w:sz w:val="18"/>
                <w:szCs w:val="18"/>
              </w:rPr>
            </w:pPr>
            <w:r w:rsidRPr="000C3BB5">
              <w:rPr>
                <w:b/>
                <w:sz w:val="18"/>
                <w:szCs w:val="18"/>
              </w:rPr>
              <w:t>Increment in CFLs (Base 2008)</w:t>
            </w:r>
          </w:p>
        </w:tc>
        <w:tc>
          <w:tcPr>
            <w:tcW w:w="1080" w:type="dxa"/>
            <w:tcBorders>
              <w:top w:val="single" w:sz="12" w:space="0" w:color="auto"/>
              <w:left w:val="nil"/>
              <w:bottom w:val="single" w:sz="4" w:space="0" w:color="auto"/>
              <w:right w:val="single" w:sz="12" w:space="0" w:color="auto"/>
            </w:tcBorders>
            <w:shd w:val="pct20" w:color="auto" w:fill="auto"/>
            <w:vAlign w:val="center"/>
          </w:tcPr>
          <w:p w:rsidR="009166AD" w:rsidRPr="000C3BB5" w:rsidRDefault="009166AD" w:rsidP="00646DE4">
            <w:pPr>
              <w:spacing w:after="0"/>
              <w:jc w:val="center"/>
              <w:rPr>
                <w:b/>
                <w:sz w:val="18"/>
                <w:szCs w:val="18"/>
              </w:rPr>
            </w:pPr>
            <w:r w:rsidRPr="000C3BB5">
              <w:rPr>
                <w:b/>
                <w:sz w:val="18"/>
                <w:szCs w:val="18"/>
              </w:rPr>
              <w:t>CFL Saturation Increment (Base 2008)</w:t>
            </w:r>
          </w:p>
        </w:tc>
      </w:tr>
      <w:tr w:rsidR="009166AD" w:rsidRPr="0048391A" w:rsidTr="00646DE4">
        <w:trPr>
          <w:trHeight w:val="300"/>
          <w:jc w:val="center"/>
        </w:trPr>
        <w:tc>
          <w:tcPr>
            <w:tcW w:w="980" w:type="dxa"/>
            <w:vMerge w:val="restart"/>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r w:rsidRPr="0048391A">
              <w:rPr>
                <w:sz w:val="18"/>
                <w:szCs w:val="18"/>
              </w:rPr>
              <w:t>PG&amp;E</w:t>
            </w: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2008</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54</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11.8</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0.0</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0.0%</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11.8</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0.0</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0.0%</w:t>
            </w:r>
          </w:p>
        </w:tc>
      </w:tr>
      <w:tr w:rsidR="009166AD" w:rsidRPr="0048391A" w:rsidTr="00646DE4">
        <w:trPr>
          <w:trHeight w:val="300"/>
          <w:jc w:val="center"/>
        </w:trPr>
        <w:tc>
          <w:tcPr>
            <w:tcW w:w="980" w:type="dxa"/>
            <w:vMerge/>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2009</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54</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14.4</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2.6</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4.8%</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14.4</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2.6</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4.8%</w:t>
            </w:r>
          </w:p>
        </w:tc>
      </w:tr>
      <w:tr w:rsidR="009166AD" w:rsidRPr="0048391A" w:rsidTr="00646DE4">
        <w:trPr>
          <w:trHeight w:val="300"/>
          <w:jc w:val="center"/>
        </w:trPr>
        <w:tc>
          <w:tcPr>
            <w:tcW w:w="980" w:type="dxa"/>
            <w:vMerge/>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2010</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54</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17.3</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5.4</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10.1%</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17.3</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5.4</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10.1%</w:t>
            </w:r>
          </w:p>
        </w:tc>
      </w:tr>
      <w:tr w:rsidR="009166AD" w:rsidRPr="0048391A" w:rsidTr="00646DE4">
        <w:trPr>
          <w:trHeight w:val="300"/>
          <w:jc w:val="center"/>
        </w:trPr>
        <w:tc>
          <w:tcPr>
            <w:tcW w:w="980" w:type="dxa"/>
            <w:vMerge/>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2011</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54</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19.0</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7.2</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13.3%</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19.0</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7.2</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13.3%</w:t>
            </w:r>
          </w:p>
        </w:tc>
      </w:tr>
      <w:tr w:rsidR="009166AD" w:rsidRPr="0048391A" w:rsidTr="00646DE4">
        <w:trPr>
          <w:trHeight w:val="300"/>
          <w:jc w:val="center"/>
        </w:trPr>
        <w:tc>
          <w:tcPr>
            <w:tcW w:w="980" w:type="dxa"/>
            <w:vMerge/>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2012</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54</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20.5</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8.7</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16.1%</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8.3</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15.4%</w:t>
            </w:r>
          </w:p>
        </w:tc>
      </w:tr>
      <w:tr w:rsidR="009166AD" w:rsidRPr="0048391A" w:rsidTr="00646DE4">
        <w:trPr>
          <w:trHeight w:val="300"/>
          <w:jc w:val="center"/>
        </w:trPr>
        <w:tc>
          <w:tcPr>
            <w:tcW w:w="980" w:type="dxa"/>
            <w:vMerge/>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2013</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54</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22.6</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10.8</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20.0%</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21.9</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10.0</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18.6%</w:t>
            </w:r>
          </w:p>
        </w:tc>
      </w:tr>
      <w:tr w:rsidR="009166AD" w:rsidRPr="0048391A" w:rsidTr="00646DE4">
        <w:trPr>
          <w:trHeight w:val="300"/>
          <w:jc w:val="center"/>
        </w:trPr>
        <w:tc>
          <w:tcPr>
            <w:tcW w:w="980" w:type="dxa"/>
            <w:vMerge/>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2014</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54</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24.2</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12.4</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22.9%</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23.1</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11.3</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20.9%</w:t>
            </w:r>
          </w:p>
        </w:tc>
      </w:tr>
      <w:tr w:rsidR="009166AD" w:rsidRPr="0048391A" w:rsidTr="00646DE4">
        <w:trPr>
          <w:trHeight w:val="300"/>
          <w:jc w:val="center"/>
        </w:trPr>
        <w:tc>
          <w:tcPr>
            <w:tcW w:w="980" w:type="dxa"/>
            <w:vMerge w:val="restart"/>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r w:rsidRPr="0048391A">
              <w:rPr>
                <w:sz w:val="18"/>
                <w:szCs w:val="18"/>
              </w:rPr>
              <w:t>SCE</w:t>
            </w: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2008</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49</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9.9</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0.0</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0.0%</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9.9</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0.0</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0.0%</w:t>
            </w:r>
          </w:p>
        </w:tc>
      </w:tr>
      <w:tr w:rsidR="009166AD" w:rsidRPr="0048391A" w:rsidTr="00646DE4">
        <w:trPr>
          <w:trHeight w:val="300"/>
          <w:jc w:val="center"/>
        </w:trPr>
        <w:tc>
          <w:tcPr>
            <w:tcW w:w="980" w:type="dxa"/>
            <w:vMerge/>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2009</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49</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10.8</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0.9</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1.9%</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10.8</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0.9</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1.9%</w:t>
            </w:r>
          </w:p>
        </w:tc>
      </w:tr>
      <w:tr w:rsidR="009166AD" w:rsidRPr="0048391A" w:rsidTr="00646DE4">
        <w:trPr>
          <w:trHeight w:val="300"/>
          <w:jc w:val="center"/>
        </w:trPr>
        <w:tc>
          <w:tcPr>
            <w:tcW w:w="980" w:type="dxa"/>
            <w:vMerge/>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2010</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49</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12.9</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3.1</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6.3%</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12.9</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3.1</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6.3%</w:t>
            </w:r>
          </w:p>
        </w:tc>
      </w:tr>
      <w:tr w:rsidR="009166AD" w:rsidRPr="0048391A" w:rsidTr="00646DE4">
        <w:trPr>
          <w:trHeight w:val="300"/>
          <w:jc w:val="center"/>
        </w:trPr>
        <w:tc>
          <w:tcPr>
            <w:tcW w:w="980" w:type="dxa"/>
            <w:vMerge/>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2011</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49</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14.3</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4.5</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9.1%</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14.3</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4.5</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9.1%</w:t>
            </w:r>
          </w:p>
        </w:tc>
      </w:tr>
      <w:tr w:rsidR="009166AD" w:rsidRPr="0048391A" w:rsidTr="00646DE4">
        <w:trPr>
          <w:trHeight w:val="300"/>
          <w:jc w:val="center"/>
        </w:trPr>
        <w:tc>
          <w:tcPr>
            <w:tcW w:w="980" w:type="dxa"/>
            <w:vMerge/>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2012</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49</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15.5</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5.6</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11.5%</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14.8</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4.9</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10.1%</w:t>
            </w:r>
          </w:p>
        </w:tc>
      </w:tr>
      <w:tr w:rsidR="009166AD" w:rsidRPr="0048391A" w:rsidTr="00646DE4">
        <w:trPr>
          <w:trHeight w:val="300"/>
          <w:jc w:val="center"/>
        </w:trPr>
        <w:tc>
          <w:tcPr>
            <w:tcW w:w="980" w:type="dxa"/>
            <w:vMerge/>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2013</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49</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17.1</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7.2</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14.7%</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15.7</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5.8</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11.8%</w:t>
            </w:r>
          </w:p>
        </w:tc>
      </w:tr>
      <w:tr w:rsidR="009166AD" w:rsidRPr="0048391A" w:rsidTr="00646DE4">
        <w:trPr>
          <w:trHeight w:val="300"/>
          <w:jc w:val="center"/>
        </w:trPr>
        <w:tc>
          <w:tcPr>
            <w:tcW w:w="980" w:type="dxa"/>
            <w:vMerge/>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2014</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49</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18.3</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8.4</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17.2%</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16.2</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6.4</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13.0%</w:t>
            </w:r>
          </w:p>
        </w:tc>
      </w:tr>
      <w:tr w:rsidR="009166AD" w:rsidRPr="0048391A" w:rsidTr="00646DE4">
        <w:trPr>
          <w:trHeight w:val="300"/>
          <w:jc w:val="center"/>
        </w:trPr>
        <w:tc>
          <w:tcPr>
            <w:tcW w:w="980" w:type="dxa"/>
            <w:vMerge w:val="restart"/>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r w:rsidRPr="0048391A">
              <w:rPr>
                <w:sz w:val="18"/>
                <w:szCs w:val="18"/>
              </w:rPr>
              <w:t>SDG&amp;E</w:t>
            </w: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2008</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53</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7.4</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0.0</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0.0%</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7.4</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0.0</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0.0%</w:t>
            </w:r>
          </w:p>
        </w:tc>
      </w:tr>
      <w:tr w:rsidR="009166AD" w:rsidRPr="0048391A" w:rsidTr="00646DE4">
        <w:trPr>
          <w:trHeight w:val="300"/>
          <w:jc w:val="center"/>
        </w:trPr>
        <w:tc>
          <w:tcPr>
            <w:tcW w:w="980" w:type="dxa"/>
            <w:vMerge/>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2009</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53</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8.3</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0.9</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1.8%</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8.3</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0.9</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1.8%</w:t>
            </w:r>
          </w:p>
        </w:tc>
      </w:tr>
      <w:tr w:rsidR="009166AD" w:rsidRPr="0048391A" w:rsidTr="00646DE4">
        <w:trPr>
          <w:trHeight w:val="300"/>
          <w:jc w:val="center"/>
        </w:trPr>
        <w:tc>
          <w:tcPr>
            <w:tcW w:w="980" w:type="dxa"/>
            <w:vMerge/>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2010</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53</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9.8</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2.4</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4.6%</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9.8</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2.4</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4.6%</w:t>
            </w:r>
          </w:p>
        </w:tc>
      </w:tr>
      <w:tr w:rsidR="009166AD" w:rsidRPr="0048391A" w:rsidTr="00646DE4">
        <w:trPr>
          <w:trHeight w:val="300"/>
          <w:jc w:val="center"/>
        </w:trPr>
        <w:tc>
          <w:tcPr>
            <w:tcW w:w="980" w:type="dxa"/>
            <w:vMerge/>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2011</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53</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10.7</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3.3</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6.3%</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10.7</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3.3</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6.3%</w:t>
            </w:r>
          </w:p>
        </w:tc>
      </w:tr>
      <w:tr w:rsidR="009166AD" w:rsidRPr="0048391A" w:rsidTr="00646DE4">
        <w:trPr>
          <w:trHeight w:val="300"/>
          <w:jc w:val="center"/>
        </w:trPr>
        <w:tc>
          <w:tcPr>
            <w:tcW w:w="980" w:type="dxa"/>
            <w:vMerge/>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2012</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53</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11.5</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4.1</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7.7%</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11.1</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3.7</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7.0%</w:t>
            </w:r>
          </w:p>
        </w:tc>
      </w:tr>
      <w:tr w:rsidR="009166AD" w:rsidRPr="0048391A" w:rsidTr="00646DE4">
        <w:trPr>
          <w:trHeight w:val="300"/>
          <w:jc w:val="center"/>
        </w:trPr>
        <w:tc>
          <w:tcPr>
            <w:tcW w:w="980" w:type="dxa"/>
            <w:vMerge/>
            <w:tcBorders>
              <w:top w:val="nil"/>
              <w:left w:val="single" w:sz="12" w:space="0" w:color="auto"/>
              <w:bottom w:val="single" w:sz="4" w:space="0" w:color="000000"/>
              <w:right w:val="single" w:sz="4" w:space="0" w:color="auto"/>
            </w:tcBorders>
            <w:vAlign w:val="center"/>
          </w:tcPr>
          <w:p w:rsidR="009166AD" w:rsidRPr="0048391A" w:rsidRDefault="009166AD" w:rsidP="00646DE4">
            <w:pPr>
              <w:spacing w:after="0"/>
              <w:rPr>
                <w:sz w:val="18"/>
                <w:szCs w:val="18"/>
              </w:rPr>
            </w:pPr>
          </w:p>
        </w:tc>
        <w:tc>
          <w:tcPr>
            <w:tcW w:w="64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2013</w:t>
            </w:r>
          </w:p>
        </w:tc>
        <w:tc>
          <w:tcPr>
            <w:tcW w:w="10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53</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12.6</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5.2</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9.8%</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11.8</w:t>
            </w:r>
          </w:p>
        </w:tc>
        <w:tc>
          <w:tcPr>
            <w:tcW w:w="108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4.4</w:t>
            </w:r>
          </w:p>
        </w:tc>
        <w:tc>
          <w:tcPr>
            <w:tcW w:w="108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8.4%</w:t>
            </w:r>
          </w:p>
        </w:tc>
      </w:tr>
      <w:tr w:rsidR="009166AD" w:rsidRPr="0048391A" w:rsidTr="00646DE4">
        <w:trPr>
          <w:trHeight w:val="300"/>
          <w:jc w:val="center"/>
        </w:trPr>
        <w:tc>
          <w:tcPr>
            <w:tcW w:w="980" w:type="dxa"/>
            <w:vMerge/>
            <w:tcBorders>
              <w:top w:val="nil"/>
              <w:left w:val="single" w:sz="12" w:space="0" w:color="auto"/>
              <w:bottom w:val="single" w:sz="12" w:space="0" w:color="auto"/>
              <w:right w:val="single" w:sz="4" w:space="0" w:color="auto"/>
            </w:tcBorders>
            <w:vAlign w:val="center"/>
          </w:tcPr>
          <w:p w:rsidR="009166AD" w:rsidRPr="0048391A" w:rsidRDefault="009166AD" w:rsidP="00646DE4">
            <w:pPr>
              <w:spacing w:after="0"/>
              <w:rPr>
                <w:sz w:val="18"/>
                <w:szCs w:val="18"/>
              </w:rPr>
            </w:pPr>
          </w:p>
        </w:tc>
        <w:tc>
          <w:tcPr>
            <w:tcW w:w="640" w:type="dxa"/>
            <w:tcBorders>
              <w:top w:val="nil"/>
              <w:left w:val="nil"/>
              <w:bottom w:val="single" w:sz="12"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2014</w:t>
            </w:r>
          </w:p>
        </w:tc>
        <w:tc>
          <w:tcPr>
            <w:tcW w:w="1060" w:type="dxa"/>
            <w:tcBorders>
              <w:top w:val="nil"/>
              <w:left w:val="nil"/>
              <w:bottom w:val="single" w:sz="12"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53</w:t>
            </w:r>
          </w:p>
        </w:tc>
        <w:tc>
          <w:tcPr>
            <w:tcW w:w="1080" w:type="dxa"/>
            <w:tcBorders>
              <w:top w:val="nil"/>
              <w:left w:val="nil"/>
              <w:bottom w:val="single" w:sz="12"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13.4</w:t>
            </w:r>
          </w:p>
        </w:tc>
        <w:tc>
          <w:tcPr>
            <w:tcW w:w="1080" w:type="dxa"/>
            <w:tcBorders>
              <w:top w:val="nil"/>
              <w:left w:val="nil"/>
              <w:bottom w:val="single" w:sz="12"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6.0</w:t>
            </w:r>
          </w:p>
        </w:tc>
        <w:tc>
          <w:tcPr>
            <w:tcW w:w="1080" w:type="dxa"/>
            <w:tcBorders>
              <w:top w:val="nil"/>
              <w:left w:val="nil"/>
              <w:bottom w:val="single" w:sz="12"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11.4%</w:t>
            </w:r>
          </w:p>
        </w:tc>
        <w:tc>
          <w:tcPr>
            <w:tcW w:w="1080" w:type="dxa"/>
            <w:tcBorders>
              <w:top w:val="nil"/>
              <w:left w:val="nil"/>
              <w:bottom w:val="single" w:sz="12"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12.3</w:t>
            </w:r>
          </w:p>
        </w:tc>
        <w:tc>
          <w:tcPr>
            <w:tcW w:w="1080" w:type="dxa"/>
            <w:tcBorders>
              <w:top w:val="nil"/>
              <w:left w:val="nil"/>
              <w:bottom w:val="single" w:sz="12"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4.9</w:t>
            </w:r>
          </w:p>
        </w:tc>
        <w:tc>
          <w:tcPr>
            <w:tcW w:w="1080" w:type="dxa"/>
            <w:tcBorders>
              <w:top w:val="nil"/>
              <w:left w:val="nil"/>
              <w:bottom w:val="single" w:sz="12"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9.3%</w:t>
            </w:r>
          </w:p>
        </w:tc>
      </w:tr>
    </w:tbl>
    <w:p w:rsidR="009166AD" w:rsidRDefault="009166AD" w:rsidP="009166AD">
      <w:pPr>
        <w:pStyle w:val="Heading2"/>
        <w:numPr>
          <w:ilvl w:val="1"/>
          <w:numId w:val="1"/>
        </w:numPr>
        <w:jc w:val="both"/>
      </w:pPr>
      <w:r>
        <w:t>Projections of Lighting Profiles</w:t>
      </w:r>
    </w:p>
    <w:p w:rsidR="009166AD" w:rsidRPr="00274D7A" w:rsidRDefault="009166AD" w:rsidP="009166AD">
      <w:r>
        <w:t xml:space="preserve">Even though a few of the saturation estimates may appear to be too high, it is worth emphasizing that the ultimate goal of the analysis is to provide projections of lighting profiles, not projections of CFL saturation.  The estimated CFL saturation increments were used to adjust our projections of lighting hours of use estimates, but had a limited impact on the adjusted lighting profiles. </w:t>
      </w:r>
    </w:p>
    <w:p w:rsidR="009166AD" w:rsidRDefault="009166AD" w:rsidP="009166AD">
      <w:pPr>
        <w:pStyle w:val="Heading3"/>
        <w:numPr>
          <w:ilvl w:val="2"/>
          <w:numId w:val="1"/>
        </w:numPr>
        <w:jc w:val="both"/>
      </w:pPr>
      <w:r>
        <w:lastRenderedPageBreak/>
        <w:t>Cross-Sectional Model and Projected Lighting</w:t>
      </w:r>
      <w:r w:rsidRPr="00190C22">
        <w:t xml:space="preserve"> </w:t>
      </w:r>
      <w:r>
        <w:t>Profiles</w:t>
      </w:r>
    </w:p>
    <w:p w:rsidR="009166AD" w:rsidRDefault="009166AD" w:rsidP="009166AD">
      <w:r>
        <w:t>A complete explanation of the approach used for developing lighting profiles can be found in the 2006-2008 ULP evaluation report and in the additional analysis memorandum of 2010 (KEMA 2010a).  A brief review of the lighting models is presented followed by an explanation of how the profiles were adjusted.  In the interest of clarity, and where ambiguity does not arise, subscripts will be omitted.  This omission is noted in the text.</w:t>
      </w:r>
    </w:p>
    <w:p w:rsidR="009166AD" w:rsidRDefault="009166AD" w:rsidP="009166AD">
      <w:r>
        <w:t>The 2006-2008 ULP evaluation work that KEMA developed lighting profiles by means of two models: a seasonal and a cross-sectional model.  The seasonal model is used to provide annualization of the analyzed logger data.  Because each logger recorded only part of a year, KEMA extrapolated to the rest of the year by regressing hourly percent on (originally, hours of use) as a function of a sine wave with peak at winter solstice (December 21) and trough at summer solstice (June 21</w:t>
      </w:r>
      <w:r w:rsidRPr="009D75B4">
        <w:t>).  The sine wave approximates hours of daylight or darkness in a day.  This sinusoid model is estimated for each</w:t>
      </w:r>
      <w:r>
        <w:t xml:space="preserve"> logger, for each day type, and for each hour of the day.  To simplify our discussion, the choice of day type will be omitted from all equations.  Hourly percent of time on for each logger, day of year, and hour is estimated by:</w:t>
      </w:r>
    </w:p>
    <w:p w:rsidR="009166AD" w:rsidRDefault="009166AD" w:rsidP="009166AD">
      <m:oMathPara>
        <m:oMath>
          <m:r>
            <w:rPr>
              <w:rFonts w:ascii="Cambria Math" w:hAnsi="Cambria Math"/>
            </w:rPr>
            <m:t>pc</m:t>
          </m:r>
          <m:sSub>
            <m:sSubPr>
              <m:ctrlPr>
                <w:rPr>
                  <w:rFonts w:ascii="Cambria Math" w:hAnsi="Cambria Math"/>
                </w:rPr>
              </m:ctrlPr>
            </m:sSubPr>
            <m:e>
              <m:r>
                <w:rPr>
                  <w:rFonts w:ascii="Cambria Math" w:hAnsi="Cambria Math"/>
                </w:rPr>
                <m:t>t</m:t>
              </m:r>
            </m:e>
            <m:sub>
              <m:r>
                <w:rPr>
                  <w:rFonts w:ascii="Cambria Math" w:hAnsi="Cambria Math"/>
                </w:rPr>
                <m:t>idh</m:t>
              </m:r>
            </m:sub>
          </m:sSub>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ih</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ih</m:t>
              </m:r>
            </m:sub>
          </m:sSub>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d</m:t>
                      </m:r>
                    </m:sub>
                  </m:sSub>
                </m:e>
              </m:d>
            </m:e>
          </m:func>
          <m:r>
            <m:rPr>
              <m:sty m:val="p"/>
            </m:rPr>
            <w:rPr>
              <w:rFonts w:ascii="Cambria Math" w:hAnsi="Cambria Math"/>
            </w:rPr>
            <m:t xml:space="preserve">+ </m:t>
          </m:r>
          <m:sSub>
            <m:sSubPr>
              <m:ctrlPr>
                <w:rPr>
                  <w:rFonts w:ascii="Cambria Math" w:hAnsi="Cambria Math"/>
                </w:rPr>
              </m:ctrlPr>
            </m:sSubPr>
            <m:e>
              <m:r>
                <w:rPr>
                  <w:rFonts w:ascii="Cambria Math" w:hAnsi="Cambria Math"/>
                </w:rPr>
                <m:t>ε</m:t>
              </m:r>
            </m:e>
            <m:sub>
              <m:r>
                <w:rPr>
                  <w:rFonts w:ascii="Cambria Math" w:hAnsi="Cambria Math"/>
                </w:rPr>
                <m:t>idh</m:t>
              </m:r>
            </m:sub>
          </m:sSub>
        </m:oMath>
      </m:oMathPara>
    </w:p>
    <w:p w:rsidR="009166AD" w:rsidRDefault="009166AD" w:rsidP="009166AD">
      <w:r>
        <w:t>where</w:t>
      </w:r>
    </w:p>
    <w:tbl>
      <w:tblPr>
        <w:tblW w:w="0" w:type="auto"/>
        <w:tblInd w:w="738" w:type="dxa"/>
        <w:tblLook w:val="00A0"/>
      </w:tblPr>
      <w:tblGrid>
        <w:gridCol w:w="1260"/>
        <w:gridCol w:w="540"/>
        <w:gridCol w:w="7038"/>
      </w:tblGrid>
      <w:tr w:rsidR="009166AD" w:rsidTr="00646DE4">
        <w:tc>
          <w:tcPr>
            <w:tcW w:w="1260" w:type="dxa"/>
          </w:tcPr>
          <w:p w:rsidR="009166AD" w:rsidRDefault="009166AD" w:rsidP="00646DE4">
            <m:oMathPara>
              <m:oMath>
                <m:r>
                  <w:rPr>
                    <w:rFonts w:ascii="Cambria Math" w:hAnsi="Cambria Math"/>
                  </w:rPr>
                  <m:t>p</m:t>
                </m:r>
                <m:sSub>
                  <m:sSubPr>
                    <m:ctrlPr>
                      <w:rPr>
                        <w:rFonts w:ascii="Cambria Math" w:hAnsi="Cambria Math"/>
                      </w:rPr>
                    </m:ctrlPr>
                  </m:sSubPr>
                  <m:e>
                    <m:r>
                      <w:rPr>
                        <w:rFonts w:ascii="Cambria Math" w:hAnsi="Cambria Math"/>
                      </w:rPr>
                      <m:t>ct</m:t>
                    </m:r>
                  </m:e>
                  <m:sub>
                    <m:r>
                      <w:rPr>
                        <w:rFonts w:ascii="Cambria Math" w:hAnsi="Cambria Math"/>
                      </w:rPr>
                      <m:t>idh</m:t>
                    </m:r>
                  </m:sub>
                </m:sSub>
              </m:oMath>
            </m:oMathPara>
          </w:p>
        </w:tc>
        <w:tc>
          <w:tcPr>
            <w:tcW w:w="540" w:type="dxa"/>
          </w:tcPr>
          <w:p w:rsidR="009166AD" w:rsidRDefault="009166AD" w:rsidP="00646DE4">
            <w:r>
              <w:t>=</w:t>
            </w:r>
          </w:p>
        </w:tc>
        <w:tc>
          <w:tcPr>
            <w:tcW w:w="7038" w:type="dxa"/>
          </w:tcPr>
          <w:p w:rsidR="009166AD" w:rsidRPr="00931A86" w:rsidRDefault="009166AD" w:rsidP="00646DE4">
            <w:r>
              <w:t xml:space="preserve">Percent on for logger </w:t>
            </w:r>
            <w:r w:rsidRPr="00B1575C">
              <w:rPr>
                <w:i/>
              </w:rPr>
              <w:t>i</w:t>
            </w:r>
            <w:r>
              <w:t xml:space="preserve">, on day of the year </w:t>
            </w:r>
            <w:r w:rsidRPr="00B1575C">
              <w:rPr>
                <w:i/>
              </w:rPr>
              <w:t>d</w:t>
            </w:r>
            <w:r>
              <w:t xml:space="preserve">, at hour </w:t>
            </w:r>
            <w:r w:rsidRPr="00B1575C">
              <w:rPr>
                <w:i/>
              </w:rPr>
              <w:t>h</w:t>
            </w:r>
          </w:p>
        </w:tc>
      </w:tr>
      <w:tr w:rsidR="009166AD" w:rsidTr="00646DE4">
        <w:tc>
          <w:tcPr>
            <w:tcW w:w="1260" w:type="dxa"/>
          </w:tcPr>
          <w:p w:rsidR="009166AD" w:rsidRDefault="006A387D" w:rsidP="00646DE4">
            <m:oMathPara>
              <m:oMath>
                <m:sSub>
                  <m:sSubPr>
                    <m:ctrlPr>
                      <w:rPr>
                        <w:rFonts w:ascii="Cambria Math" w:hAnsi="Cambria Math"/>
                      </w:rPr>
                    </m:ctrlPr>
                  </m:sSubPr>
                  <m:e>
                    <m:r>
                      <w:rPr>
                        <w:rFonts w:ascii="Cambria Math" w:hAnsi="Cambria Math"/>
                      </w:rPr>
                      <m:t>α</m:t>
                    </m:r>
                  </m:e>
                  <m:sub>
                    <m:r>
                      <w:rPr>
                        <w:rFonts w:ascii="Cambria Math" w:hAnsi="Cambria Math"/>
                      </w:rPr>
                      <m:t>ih</m:t>
                    </m:r>
                  </m:sub>
                </m:sSub>
              </m:oMath>
            </m:oMathPara>
          </w:p>
        </w:tc>
        <w:tc>
          <w:tcPr>
            <w:tcW w:w="540" w:type="dxa"/>
          </w:tcPr>
          <w:p w:rsidR="009166AD" w:rsidRDefault="009166AD" w:rsidP="00646DE4">
            <w:r>
              <w:t>=</w:t>
            </w:r>
          </w:p>
        </w:tc>
        <w:tc>
          <w:tcPr>
            <w:tcW w:w="7038" w:type="dxa"/>
          </w:tcPr>
          <w:p w:rsidR="009166AD" w:rsidRPr="00931A86" w:rsidRDefault="009166AD" w:rsidP="00646DE4">
            <w:r>
              <w:t xml:space="preserve">Intercept coefficient for logger </w:t>
            </w:r>
            <w:r w:rsidRPr="00B1575C">
              <w:rPr>
                <w:i/>
              </w:rPr>
              <w:t>i</w:t>
            </w:r>
            <w:r>
              <w:t xml:space="preserve">, hour </w:t>
            </w:r>
            <w:r w:rsidRPr="00B1575C">
              <w:rPr>
                <w:i/>
              </w:rPr>
              <w:t>h</w:t>
            </w:r>
          </w:p>
        </w:tc>
      </w:tr>
      <w:tr w:rsidR="009166AD" w:rsidTr="00646DE4">
        <w:tc>
          <w:tcPr>
            <w:tcW w:w="1260" w:type="dxa"/>
          </w:tcPr>
          <w:p w:rsidR="009166AD" w:rsidRDefault="006A387D" w:rsidP="00646DE4">
            <m:oMathPara>
              <m:oMath>
                <m:sSub>
                  <m:sSubPr>
                    <m:ctrlPr>
                      <w:rPr>
                        <w:rFonts w:ascii="Cambria Math" w:hAnsi="Cambria Math"/>
                      </w:rPr>
                    </m:ctrlPr>
                  </m:sSubPr>
                  <m:e>
                    <m:r>
                      <w:rPr>
                        <w:rFonts w:ascii="Cambria Math" w:hAnsi="Cambria Math"/>
                      </w:rPr>
                      <m:t>β</m:t>
                    </m:r>
                  </m:e>
                  <m:sub>
                    <m:r>
                      <w:rPr>
                        <w:rFonts w:ascii="Cambria Math" w:hAnsi="Cambria Math"/>
                      </w:rPr>
                      <m:t>ih</m:t>
                    </m:r>
                  </m:sub>
                </m:sSub>
              </m:oMath>
            </m:oMathPara>
          </w:p>
        </w:tc>
        <w:tc>
          <w:tcPr>
            <w:tcW w:w="540" w:type="dxa"/>
          </w:tcPr>
          <w:p w:rsidR="009166AD" w:rsidRDefault="009166AD" w:rsidP="00646DE4">
            <w:r>
              <w:t>=</w:t>
            </w:r>
          </w:p>
        </w:tc>
        <w:tc>
          <w:tcPr>
            <w:tcW w:w="7038" w:type="dxa"/>
          </w:tcPr>
          <w:p w:rsidR="009166AD" w:rsidRPr="00931A86" w:rsidRDefault="009166AD" w:rsidP="00646DE4">
            <w:r>
              <w:t xml:space="preserve">Sinusoid coefficient for logger </w:t>
            </w:r>
            <w:r w:rsidRPr="00B1575C">
              <w:rPr>
                <w:i/>
              </w:rPr>
              <w:t xml:space="preserve">i, </w:t>
            </w:r>
            <w:r>
              <w:t xml:space="preserve">hour </w:t>
            </w:r>
            <w:r w:rsidRPr="00B1575C">
              <w:rPr>
                <w:i/>
              </w:rPr>
              <w:t>h</w:t>
            </w:r>
          </w:p>
        </w:tc>
      </w:tr>
      <w:tr w:rsidR="009166AD" w:rsidTr="00646DE4">
        <w:tc>
          <w:tcPr>
            <w:tcW w:w="1260" w:type="dxa"/>
          </w:tcPr>
          <w:p w:rsidR="009166AD" w:rsidRDefault="006A387D" w:rsidP="00646DE4">
            <m:oMathPara>
              <m:oMath>
                <m:sSub>
                  <m:sSubPr>
                    <m:ctrlPr>
                      <w:rPr>
                        <w:rFonts w:ascii="Cambria Math" w:hAnsi="Cambria Math"/>
                      </w:rPr>
                    </m:ctrlPr>
                  </m:sSubPr>
                  <m:e>
                    <m:r>
                      <w:rPr>
                        <w:rFonts w:ascii="Cambria Math" w:hAnsi="Cambria Math"/>
                      </w:rPr>
                      <m:t>θ</m:t>
                    </m:r>
                  </m:e>
                  <m:sub>
                    <m:r>
                      <w:rPr>
                        <w:rFonts w:ascii="Cambria Math" w:hAnsi="Cambria Math"/>
                      </w:rPr>
                      <m:t>d</m:t>
                    </m:r>
                  </m:sub>
                </m:sSub>
              </m:oMath>
            </m:oMathPara>
          </w:p>
        </w:tc>
        <w:tc>
          <w:tcPr>
            <w:tcW w:w="540" w:type="dxa"/>
          </w:tcPr>
          <w:p w:rsidR="009166AD" w:rsidRDefault="009166AD" w:rsidP="00646DE4">
            <w:r>
              <w:t>=</w:t>
            </w:r>
          </w:p>
        </w:tc>
        <w:tc>
          <w:tcPr>
            <w:tcW w:w="7038" w:type="dxa"/>
          </w:tcPr>
          <w:p w:rsidR="009166AD" w:rsidRPr="008D7703" w:rsidRDefault="009166AD" w:rsidP="00646DE4">
            <w:r>
              <w:t xml:space="preserve">Angle for day of the year </w:t>
            </w:r>
            <w:r w:rsidRPr="00B1575C">
              <w:rPr>
                <w:i/>
              </w:rPr>
              <w:t>d</w:t>
            </w:r>
            <w:r>
              <w:t xml:space="preserve">, with </w:t>
            </w:r>
            <m:oMath>
              <m:sSub>
                <m:sSubPr>
                  <m:ctrlPr>
                    <w:rPr>
                      <w:rFonts w:ascii="Cambria Math" w:hAnsi="Cambria Math"/>
                      <w:i/>
                    </w:rPr>
                  </m:ctrlPr>
                </m:sSubPr>
                <m:e>
                  <m:r>
                    <w:rPr>
                      <w:rFonts w:ascii="Cambria Math" w:hAnsi="Cambria Math"/>
                    </w:rPr>
                    <m:t>θ</m:t>
                  </m:r>
                </m:e>
                <m:sub>
                  <m:r>
                    <w:rPr>
                      <w:rFonts w:ascii="Cambria Math" w:hAnsi="Cambria Math"/>
                    </w:rPr>
                    <m:t>d</m:t>
                  </m:r>
                </m:sub>
              </m:sSub>
              <m:r>
                <w:rPr>
                  <w:rFonts w:ascii="Cambria Math" w:hAnsi="Cambria Math"/>
                </w:rPr>
                <m:t>=0</m:t>
              </m:r>
            </m:oMath>
            <w:r w:rsidRPr="00B1575C">
              <w:t xml:space="preserve"> at spring and fall equinox, </w:t>
            </w:r>
            <m:oMath>
              <m:sSub>
                <m:sSubPr>
                  <m:ctrlPr>
                    <w:rPr>
                      <w:rFonts w:ascii="Cambria Math" w:hAnsi="Cambria Math"/>
                      <w:i/>
                    </w:rPr>
                  </m:ctrlPr>
                </m:sSubPr>
                <m:e>
                  <m:r>
                    <w:rPr>
                      <w:rFonts w:ascii="Cambria Math" w:hAnsi="Cambria Math"/>
                    </w:rPr>
                    <m:t>θ</m:t>
                  </m:r>
                </m:e>
                <m:sub>
                  <m:r>
                    <w:rPr>
                      <w:rFonts w:ascii="Cambria Math" w:hAnsi="Cambria Math"/>
                    </w:rPr>
                    <m:t>d</m:t>
                  </m:r>
                </m:sub>
              </m:sSub>
              <m:r>
                <w:rPr>
                  <w:rFonts w:ascii="Cambria Math" w:hAnsi="Cambria Math"/>
                </w:rPr>
                <m:t>=π/2</m:t>
              </m:r>
            </m:oMath>
            <w:r w:rsidRPr="00B1575C">
              <w:t xml:space="preserve"> on December 21, and </w:t>
            </w:r>
            <m:oMath>
              <m:sSub>
                <m:sSubPr>
                  <m:ctrlPr>
                    <w:rPr>
                      <w:rFonts w:ascii="Cambria Math" w:hAnsi="Cambria Math"/>
                      <w:i/>
                    </w:rPr>
                  </m:ctrlPr>
                </m:sSubPr>
                <m:e>
                  <m:r>
                    <w:rPr>
                      <w:rFonts w:ascii="Cambria Math" w:hAnsi="Cambria Math"/>
                    </w:rPr>
                    <m:t>θ</m:t>
                  </m:r>
                </m:e>
                <m:sub>
                  <m:r>
                    <w:rPr>
                      <w:rFonts w:ascii="Cambria Math" w:hAnsi="Cambria Math"/>
                    </w:rPr>
                    <m:t>d</m:t>
                  </m:r>
                </m:sub>
              </m:sSub>
              <m:r>
                <w:rPr>
                  <w:rFonts w:ascii="Cambria Math" w:hAnsi="Cambria Math"/>
                </w:rPr>
                <m:t>=-π/2</m:t>
              </m:r>
            </m:oMath>
            <w:r w:rsidRPr="00B1575C">
              <w:t xml:space="preserve"> on June 21</w:t>
            </w:r>
          </w:p>
        </w:tc>
      </w:tr>
      <w:tr w:rsidR="009166AD" w:rsidTr="00646DE4">
        <w:tc>
          <w:tcPr>
            <w:tcW w:w="1260" w:type="dxa"/>
          </w:tcPr>
          <w:p w:rsidR="009166AD" w:rsidRDefault="006A387D" w:rsidP="00646DE4">
            <m:oMathPara>
              <m:oMath>
                <m:sSub>
                  <m:sSubPr>
                    <m:ctrlPr>
                      <w:rPr>
                        <w:rFonts w:ascii="Cambria Math" w:hAnsi="Cambria Math"/>
                      </w:rPr>
                    </m:ctrlPr>
                  </m:sSubPr>
                  <m:e>
                    <m:r>
                      <w:rPr>
                        <w:rFonts w:ascii="Cambria Math" w:hAnsi="Cambria Math"/>
                      </w:rPr>
                      <m:t>ε</m:t>
                    </m:r>
                  </m:e>
                  <m:sub>
                    <m:r>
                      <w:rPr>
                        <w:rFonts w:ascii="Cambria Math" w:hAnsi="Cambria Math"/>
                      </w:rPr>
                      <m:t>idh</m:t>
                    </m:r>
                  </m:sub>
                </m:sSub>
              </m:oMath>
            </m:oMathPara>
          </w:p>
        </w:tc>
        <w:tc>
          <w:tcPr>
            <w:tcW w:w="540" w:type="dxa"/>
          </w:tcPr>
          <w:p w:rsidR="009166AD" w:rsidRDefault="009166AD" w:rsidP="00646DE4">
            <w:r>
              <w:t>=</w:t>
            </w:r>
          </w:p>
        </w:tc>
        <w:tc>
          <w:tcPr>
            <w:tcW w:w="7038" w:type="dxa"/>
          </w:tcPr>
          <w:p w:rsidR="009166AD" w:rsidRDefault="009166AD" w:rsidP="00646DE4">
            <w:r>
              <w:t>Residual error.</w:t>
            </w:r>
          </w:p>
        </w:tc>
      </w:tr>
    </w:tbl>
    <w:p w:rsidR="009166AD" w:rsidRDefault="009166AD" w:rsidP="009166AD">
      <w:r>
        <w:t xml:space="preserve">Equipped with the sinusoid model and proper sampling weights, we are capable of estimating weighted usage for any time of the year directly from the sample, a method that </w:t>
      </w:r>
      <w:r w:rsidR="000970B0">
        <w:t>we</w:t>
      </w:r>
      <w:r>
        <w:t xml:space="preserve"> calls direct expansion.  This method is well suited for generating results at highly aggregated levels, but it is limited by the number of sample points that are available for any segment of interest.</w:t>
      </w:r>
    </w:p>
    <w:p w:rsidR="009166AD" w:rsidRDefault="009166AD" w:rsidP="009166AD">
      <w:r>
        <w:t xml:space="preserve">The second model that the DEER team developed for lighting profiles aimed to mitigate the sample size issue for fine cuts of the data.  The idea is to leverage the inventory data that was collected at the same time as the metering study.  The inventory data contains complete information about all space types and lamp types in the households of the study.  The logger </w:t>
      </w:r>
      <w:r>
        <w:lastRenderedPageBreak/>
        <w:t xml:space="preserve">sample is a subset of the inventory.  </w:t>
      </w:r>
      <w:r w:rsidRPr="0027162D">
        <w:t xml:space="preserve">The cross-sectional model is an </w:t>
      </w:r>
      <w:r>
        <w:t>a</w:t>
      </w:r>
      <w:r w:rsidRPr="0027162D">
        <w:t xml:space="preserve">nalysis of </w:t>
      </w:r>
      <w:r>
        <w:t>c</w:t>
      </w:r>
      <w:r w:rsidRPr="0027162D">
        <w:t xml:space="preserve">ovariance (Ancova) model estimated using the coefficients from the seasonal model as a function of a number of customer characteristics, including demographics, distribution of space types, and CFL saturation.  Here </w:t>
      </w:r>
      <w:r>
        <w:t xml:space="preserve">we </w:t>
      </w:r>
      <w:r w:rsidRPr="0027162D">
        <w:t>restrict our attention to CFL saturation,</w:t>
      </w:r>
      <w:r>
        <w:t xml:space="preserve"> which is the coefficient used for our adjustment.  The complete model specification can be found in Table 82 of the 2006-2008 ULP report.</w:t>
      </w:r>
    </w:p>
    <w:p w:rsidR="009166AD" w:rsidRDefault="009166AD" w:rsidP="009166AD">
      <w:r>
        <w:t xml:space="preserve">The coefficients from the sinusoid model, </w:t>
      </w:r>
      <m:oMath>
        <m:sSub>
          <m:sSubPr>
            <m:ctrlPr>
              <w:rPr>
                <w:rFonts w:ascii="Cambria Math" w:hAnsi="Cambria Math"/>
                <w:i/>
              </w:rPr>
            </m:ctrlPr>
          </m:sSubPr>
          <m:e>
            <m:r>
              <w:rPr>
                <w:rFonts w:ascii="Cambria Math" w:hAnsi="Cambria Math"/>
              </w:rPr>
              <m:t>α</m:t>
            </m:r>
          </m:e>
          <m:sub>
            <m:r>
              <w:rPr>
                <w:rFonts w:ascii="Cambria Math" w:hAnsi="Cambria Math"/>
              </w:rPr>
              <m:t>ih</m:t>
            </m:r>
          </m:sub>
        </m:sSub>
      </m:oMath>
      <w:r>
        <w:t xml:space="preserve"> and </w:t>
      </w:r>
      <m:oMath>
        <m:sSub>
          <m:sSubPr>
            <m:ctrlPr>
              <w:rPr>
                <w:rFonts w:ascii="Cambria Math" w:hAnsi="Cambria Math"/>
                <w:i/>
              </w:rPr>
            </m:ctrlPr>
          </m:sSubPr>
          <m:e>
            <m:r>
              <w:rPr>
                <w:rFonts w:ascii="Cambria Math" w:hAnsi="Cambria Math"/>
              </w:rPr>
              <m:t>β</m:t>
            </m:r>
          </m:e>
          <m:sub>
            <m:r>
              <w:rPr>
                <w:rFonts w:ascii="Cambria Math" w:hAnsi="Cambria Math"/>
              </w:rPr>
              <m:t>ih</m:t>
            </m:r>
          </m:sub>
        </m:sSub>
      </m:oMath>
      <w:r>
        <w:t xml:space="preserve">, are modeled separately as a function of CFL saturation and other customer characteristics.  It is the coefficients of CFL saturation, </w:t>
      </w:r>
      <m:oMath>
        <m:sSub>
          <m:sSubPr>
            <m:ctrlPr>
              <w:rPr>
                <w:rFonts w:ascii="Cambria Math" w:hAnsi="Cambria Math"/>
                <w:i/>
              </w:rPr>
            </m:ctrlPr>
          </m:sSubPr>
          <m:e>
            <m:r>
              <w:rPr>
                <w:rFonts w:ascii="Cambria Math" w:hAnsi="Cambria Math"/>
              </w:rPr>
              <m:t>λ</m:t>
            </m:r>
          </m:e>
          <m:sub>
            <m:r>
              <w:rPr>
                <w:rFonts w:ascii="Cambria Math" w:hAnsi="Cambria Math"/>
              </w:rPr>
              <m:t>α, h</m:t>
            </m:r>
          </m:sub>
        </m:sSub>
      </m:oMath>
      <w:r>
        <w:t xml:space="preserve"> and </w:t>
      </w:r>
      <m:oMath>
        <m:sSub>
          <m:sSubPr>
            <m:ctrlPr>
              <w:rPr>
                <w:rFonts w:ascii="Cambria Math" w:hAnsi="Cambria Math"/>
                <w:i/>
              </w:rPr>
            </m:ctrlPr>
          </m:sSubPr>
          <m:e>
            <m:r>
              <w:rPr>
                <w:rFonts w:ascii="Cambria Math" w:hAnsi="Cambria Math"/>
              </w:rPr>
              <m:t>λ</m:t>
            </m:r>
          </m:e>
          <m:sub>
            <m:r>
              <w:rPr>
                <w:rFonts w:ascii="Cambria Math" w:hAnsi="Cambria Math"/>
              </w:rPr>
              <m:t>β, h</m:t>
            </m:r>
          </m:sub>
        </m:sSub>
      </m:oMath>
      <w:r>
        <w:t>, that are used to adjust the projections of lighting profiles.</w:t>
      </w:r>
    </w:p>
    <w:p w:rsidR="009166AD" w:rsidRDefault="006A387D" w:rsidP="009166AD">
      <m:oMathPara>
        <m:oMath>
          <m:sSub>
            <m:sSubPr>
              <m:ctrlPr>
                <w:rPr>
                  <w:rFonts w:ascii="Cambria Math" w:hAnsi="Cambria Math"/>
                </w:rPr>
              </m:ctrlPr>
            </m:sSubPr>
            <m:e>
              <m:r>
                <w:rPr>
                  <w:rFonts w:ascii="Cambria Math" w:hAnsi="Cambria Math"/>
                </w:rPr>
                <m:t>α</m:t>
              </m:r>
            </m:e>
            <m:sub>
              <m:r>
                <w:rPr>
                  <w:rFonts w:ascii="Cambria Math" w:hAnsi="Cambria Math"/>
                </w:rPr>
                <m:t>ih</m:t>
              </m:r>
            </m:sub>
          </m:sSub>
          <m:r>
            <m:rPr>
              <m:sty m:val="p"/>
            </m:rPr>
            <w:rPr>
              <w:rFonts w:ascii="Cambria Math" w:hAnsi="Cambria Math"/>
            </w:rPr>
            <m:t>=</m:t>
          </m:r>
          <m:r>
            <w:rPr>
              <w:rFonts w:ascii="Cambria Math" w:hAnsi="Cambria Math"/>
            </w:rPr>
            <m:t>in</m:t>
          </m:r>
          <m:sSub>
            <m:sSubPr>
              <m:ctrlPr>
                <w:rPr>
                  <w:rFonts w:ascii="Cambria Math" w:hAnsi="Cambria Math"/>
                </w:rPr>
              </m:ctrlPr>
            </m:sSubPr>
            <m:e>
              <m:r>
                <w:rPr>
                  <w:rFonts w:ascii="Cambria Math" w:hAnsi="Cambria Math"/>
                </w:rPr>
                <m:t>t</m:t>
              </m:r>
            </m:e>
            <m:sub>
              <m:r>
                <w:rPr>
                  <w:rFonts w:ascii="Cambria Math" w:hAnsi="Cambria Math"/>
                </w:rPr>
                <m:t>α</m:t>
              </m:r>
              <m:r>
                <m:rPr>
                  <m:sty m:val="p"/>
                </m:rPr>
                <w:rPr>
                  <w:rFonts w:ascii="Cambria Math" w:hAnsi="Cambria Math"/>
                </w:rPr>
                <m:t>,</m:t>
              </m:r>
              <m:r>
                <w:rPr>
                  <w:rFonts w:ascii="Cambria Math" w:hAnsi="Cambria Math"/>
                </w:rPr>
                <m:t>h</m:t>
              </m:r>
            </m:sub>
          </m:sSub>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rPr>
                <m:t>α</m:t>
              </m:r>
              <m:r>
                <m:rPr>
                  <m:sty m:val="p"/>
                </m:rPr>
                <w:rPr>
                  <w:rFonts w:ascii="Cambria Math" w:hAnsi="Cambria Math"/>
                </w:rPr>
                <m:t>,</m:t>
              </m:r>
              <m:r>
                <w:rPr>
                  <w:rFonts w:ascii="Cambria Math" w:hAnsi="Cambria Math"/>
                </w:rPr>
                <m:t>h</m:t>
              </m:r>
            </m:sub>
          </m:sSub>
          <m:r>
            <w:rPr>
              <w:rFonts w:ascii="Cambria Math" w:hAnsi="Cambria Math"/>
            </w:rPr>
            <m:t>sat</m:t>
          </m:r>
          <m:r>
            <m:rPr>
              <m:sty m:val="p"/>
            </m:rPr>
            <w:rPr>
              <w:rFonts w:ascii="Cambria Math" w:hAnsi="Cambria Math"/>
            </w:rPr>
            <m:t>+…+</m:t>
          </m:r>
          <m:sSub>
            <m:sSubPr>
              <m:ctrlPr>
                <w:rPr>
                  <w:rFonts w:ascii="Cambria Math" w:hAnsi="Cambria Math"/>
                </w:rPr>
              </m:ctrlPr>
            </m:sSubPr>
            <m:e>
              <m:r>
                <w:rPr>
                  <w:rFonts w:ascii="Cambria Math" w:hAnsi="Cambria Math"/>
                </w:rPr>
                <m:t>μ</m:t>
              </m:r>
            </m:e>
            <m:sub>
              <m:r>
                <w:rPr>
                  <w:rFonts w:ascii="Cambria Math" w:hAnsi="Cambria Math"/>
                </w:rPr>
                <m:t>α</m:t>
              </m:r>
              <m:r>
                <m:rPr>
                  <m:sty m:val="p"/>
                </m:rPr>
                <w:rPr>
                  <w:rFonts w:ascii="Cambria Math" w:hAnsi="Cambria Math"/>
                </w:rPr>
                <m:t>,</m:t>
              </m:r>
              <m:r>
                <w:rPr>
                  <w:rFonts w:ascii="Cambria Math" w:hAnsi="Cambria Math"/>
                </w:rPr>
                <m:t>ih</m:t>
              </m:r>
            </m:sub>
          </m:sSub>
        </m:oMath>
        <w:r w:rsidR="009166AD" w:rsidRPr="00B1575C">
          <w:rPr>
            <w:rFonts w:ascii="Cambria Math" w:hAnsi="Cambria Math"/>
          </w:rPr>
          <w:br/>
        </w:r>
        <m:oMath>
          <m:sSub>
            <m:sSubPr>
              <m:ctrlPr>
                <w:rPr>
                  <w:rFonts w:ascii="Cambria Math" w:hAnsi="Cambria Math"/>
                </w:rPr>
              </m:ctrlPr>
            </m:sSubPr>
            <m:e>
              <m:r>
                <w:rPr>
                  <w:rFonts w:ascii="Cambria Math" w:hAnsi="Cambria Math"/>
                </w:rPr>
                <m:t>β</m:t>
              </m:r>
            </m:e>
            <m:sub>
              <m:r>
                <w:rPr>
                  <w:rFonts w:ascii="Cambria Math" w:hAnsi="Cambria Math"/>
                </w:rPr>
                <m:t>ih</m:t>
              </m:r>
            </m:sub>
          </m:sSub>
          <m:r>
            <m:rPr>
              <m:sty m:val="p"/>
            </m:rPr>
            <w:rPr>
              <w:rFonts w:ascii="Cambria Math" w:hAnsi="Cambria Math"/>
            </w:rPr>
            <m:t>=</m:t>
          </m:r>
          <m:r>
            <w:rPr>
              <w:rFonts w:ascii="Cambria Math" w:hAnsi="Cambria Math"/>
            </w:rPr>
            <m:t>in</m:t>
          </m:r>
          <m:sSub>
            <m:sSubPr>
              <m:ctrlPr>
                <w:rPr>
                  <w:rFonts w:ascii="Cambria Math" w:hAnsi="Cambria Math"/>
                </w:rPr>
              </m:ctrlPr>
            </m:sSubPr>
            <m:e>
              <m:r>
                <w:rPr>
                  <w:rFonts w:ascii="Cambria Math" w:hAnsi="Cambria Math"/>
                </w:rPr>
                <m:t>t</m:t>
              </m:r>
            </m:e>
            <m:sub>
              <m:r>
                <w:rPr>
                  <w:rFonts w:ascii="Cambria Math" w:hAnsi="Cambria Math"/>
                </w:rPr>
                <m:t>β</m:t>
              </m:r>
              <m:r>
                <m:rPr>
                  <m:sty m:val="p"/>
                </m:rPr>
                <w:rPr>
                  <w:rFonts w:ascii="Cambria Math" w:hAnsi="Cambria Math"/>
                </w:rPr>
                <m:t>,</m:t>
              </m:r>
              <m:r>
                <w:rPr>
                  <w:rFonts w:ascii="Cambria Math" w:hAnsi="Cambria Math"/>
                </w:rPr>
                <m:t>h</m:t>
              </m:r>
            </m:sub>
          </m:sSub>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rPr>
                <m:t>β</m:t>
              </m:r>
              <m:r>
                <m:rPr>
                  <m:sty m:val="p"/>
                </m:rPr>
                <w:rPr>
                  <w:rFonts w:ascii="Cambria Math" w:hAnsi="Cambria Math"/>
                </w:rPr>
                <m:t>,</m:t>
              </m:r>
              <m:r>
                <w:rPr>
                  <w:rFonts w:ascii="Cambria Math" w:hAnsi="Cambria Math"/>
                </w:rPr>
                <m:t>h</m:t>
              </m:r>
            </m:sub>
          </m:sSub>
          <m:r>
            <w:rPr>
              <w:rFonts w:ascii="Cambria Math" w:hAnsi="Cambria Math"/>
            </w:rPr>
            <m:t>sat</m:t>
          </m:r>
          <m:r>
            <m:rPr>
              <m:sty m:val="p"/>
            </m:rPr>
            <w:rPr>
              <w:rFonts w:ascii="Cambria Math" w:hAnsi="Cambria Math"/>
            </w:rPr>
            <m:t>+…+</m:t>
          </m:r>
          <m:sSub>
            <m:sSubPr>
              <m:ctrlPr>
                <w:rPr>
                  <w:rFonts w:ascii="Cambria Math" w:hAnsi="Cambria Math"/>
                </w:rPr>
              </m:ctrlPr>
            </m:sSubPr>
            <m:e>
              <m:r>
                <w:rPr>
                  <w:rFonts w:ascii="Cambria Math" w:hAnsi="Cambria Math"/>
                </w:rPr>
                <m:t>μ</m:t>
              </m:r>
            </m:e>
            <m:sub>
              <m:r>
                <w:rPr>
                  <w:rFonts w:ascii="Cambria Math" w:hAnsi="Cambria Math"/>
                </w:rPr>
                <m:t>β</m:t>
              </m:r>
              <m:r>
                <m:rPr>
                  <m:sty m:val="p"/>
                </m:rPr>
                <w:rPr>
                  <w:rFonts w:ascii="Cambria Math" w:hAnsi="Cambria Math"/>
                </w:rPr>
                <m:t>,</m:t>
              </m:r>
              <m:r>
                <w:rPr>
                  <w:rFonts w:ascii="Cambria Math" w:hAnsi="Cambria Math"/>
                </w:rPr>
                <m:t>ih</m:t>
              </m:r>
            </m:sub>
          </m:sSub>
        </m:oMath>
      </m:oMathPara>
    </w:p>
    <w:p w:rsidR="009166AD" w:rsidRDefault="009166AD" w:rsidP="009166AD">
      <w:r>
        <w:t>where</w:t>
      </w:r>
    </w:p>
    <w:tbl>
      <w:tblPr>
        <w:tblW w:w="0" w:type="auto"/>
        <w:tblInd w:w="738" w:type="dxa"/>
        <w:tblLook w:val="00A0"/>
      </w:tblPr>
      <w:tblGrid>
        <w:gridCol w:w="1440"/>
        <w:gridCol w:w="360"/>
        <w:gridCol w:w="7038"/>
      </w:tblGrid>
      <w:tr w:rsidR="009166AD" w:rsidTr="00646DE4">
        <w:tc>
          <w:tcPr>
            <w:tcW w:w="1440" w:type="dxa"/>
          </w:tcPr>
          <w:p w:rsidR="009166AD" w:rsidRDefault="006A387D" w:rsidP="00646DE4">
            <m:oMath>
              <m:sSub>
                <m:sSubPr>
                  <m:ctrlPr>
                    <w:rPr>
                      <w:rFonts w:ascii="Cambria Math" w:hAnsi="Cambria Math"/>
                    </w:rPr>
                  </m:ctrlPr>
                </m:sSubPr>
                <m:e>
                  <m:r>
                    <w:rPr>
                      <w:rFonts w:ascii="Cambria Math" w:hAnsi="Cambria Math"/>
                    </w:rPr>
                    <m:t>α</m:t>
                  </m:r>
                </m:e>
                <m:sub>
                  <m:r>
                    <w:rPr>
                      <w:rFonts w:ascii="Cambria Math" w:hAnsi="Cambria Math"/>
                    </w:rPr>
                    <m:t>ih</m:t>
                  </m:r>
                </m:sub>
              </m:sSub>
            </m:oMath>
            <w:r w:rsidR="009166AD" w:rsidRPr="00B1575C">
              <w:t xml:space="preserve">, </w:t>
            </w:r>
            <m:oMath>
              <m:sSub>
                <m:sSubPr>
                  <m:ctrlPr>
                    <w:rPr>
                      <w:rFonts w:ascii="Cambria Math" w:hAnsi="Cambria Math"/>
                    </w:rPr>
                  </m:ctrlPr>
                </m:sSubPr>
                <m:e>
                  <m:r>
                    <w:rPr>
                      <w:rFonts w:ascii="Cambria Math" w:hAnsi="Cambria Math"/>
                    </w:rPr>
                    <m:t>β</m:t>
                  </m:r>
                </m:e>
                <m:sub>
                  <m:r>
                    <w:rPr>
                      <w:rFonts w:ascii="Cambria Math" w:hAnsi="Cambria Math"/>
                    </w:rPr>
                    <m:t>ih</m:t>
                  </m:r>
                </m:sub>
              </m:sSub>
            </m:oMath>
          </w:p>
        </w:tc>
        <w:tc>
          <w:tcPr>
            <w:tcW w:w="360" w:type="dxa"/>
          </w:tcPr>
          <w:p w:rsidR="009166AD" w:rsidRDefault="009166AD" w:rsidP="00646DE4">
            <w:r>
              <w:t>=</w:t>
            </w:r>
          </w:p>
        </w:tc>
        <w:tc>
          <w:tcPr>
            <w:tcW w:w="7038" w:type="dxa"/>
          </w:tcPr>
          <w:p w:rsidR="009166AD" w:rsidRPr="00931A86" w:rsidRDefault="009166AD" w:rsidP="00646DE4">
            <w:r>
              <w:t>Coefficients from the sinusoid model</w:t>
            </w:r>
          </w:p>
        </w:tc>
      </w:tr>
      <w:tr w:rsidR="009166AD" w:rsidTr="00646DE4">
        <w:tc>
          <w:tcPr>
            <w:tcW w:w="1440" w:type="dxa"/>
          </w:tcPr>
          <w:p w:rsidR="009166AD" w:rsidRDefault="009166AD" w:rsidP="00646DE4">
            <m:oMath>
              <m:r>
                <w:rPr>
                  <w:rFonts w:ascii="Cambria Math" w:hAnsi="Cambria Math"/>
                </w:rPr>
                <m:t>in</m:t>
              </m:r>
              <m:sSub>
                <m:sSubPr>
                  <m:ctrlPr>
                    <w:rPr>
                      <w:rFonts w:ascii="Cambria Math" w:hAnsi="Cambria Math"/>
                    </w:rPr>
                  </m:ctrlPr>
                </m:sSubPr>
                <m:e>
                  <m:r>
                    <w:rPr>
                      <w:rFonts w:ascii="Cambria Math" w:hAnsi="Cambria Math"/>
                    </w:rPr>
                    <m:t>t</m:t>
                  </m:r>
                </m:e>
                <m:sub>
                  <m:r>
                    <w:rPr>
                      <w:rFonts w:ascii="Cambria Math" w:hAnsi="Cambria Math"/>
                    </w:rPr>
                    <m:t>α</m:t>
                  </m:r>
                  <m:r>
                    <m:rPr>
                      <m:sty m:val="p"/>
                    </m:rPr>
                    <w:rPr>
                      <w:rFonts w:ascii="Cambria Math" w:hAnsi="Cambria Math"/>
                    </w:rPr>
                    <m:t>,</m:t>
                  </m:r>
                  <m:r>
                    <w:rPr>
                      <w:rFonts w:ascii="Cambria Math" w:hAnsi="Cambria Math"/>
                    </w:rPr>
                    <m:t>h</m:t>
                  </m:r>
                </m:sub>
              </m:sSub>
            </m:oMath>
            <w:r w:rsidRPr="00B1575C">
              <w:t xml:space="preserve">, </w:t>
            </w:r>
            <m:oMath>
              <m:r>
                <w:rPr>
                  <w:rFonts w:ascii="Cambria Math" w:hAnsi="Cambria Math"/>
                </w:rPr>
                <m:t>in</m:t>
              </m:r>
              <m:sSub>
                <m:sSubPr>
                  <m:ctrlPr>
                    <w:rPr>
                      <w:rFonts w:ascii="Cambria Math" w:hAnsi="Cambria Math"/>
                    </w:rPr>
                  </m:ctrlPr>
                </m:sSubPr>
                <m:e>
                  <m:r>
                    <w:rPr>
                      <w:rFonts w:ascii="Cambria Math" w:hAnsi="Cambria Math"/>
                    </w:rPr>
                    <m:t>t</m:t>
                  </m:r>
                </m:e>
                <m:sub>
                  <m:r>
                    <w:rPr>
                      <w:rFonts w:ascii="Cambria Math" w:hAnsi="Cambria Math"/>
                    </w:rPr>
                    <m:t>β</m:t>
                  </m:r>
                  <m:r>
                    <m:rPr>
                      <m:sty m:val="p"/>
                    </m:rPr>
                    <w:rPr>
                      <w:rFonts w:ascii="Cambria Math" w:hAnsi="Cambria Math"/>
                    </w:rPr>
                    <m:t>,</m:t>
                  </m:r>
                  <m:r>
                    <w:rPr>
                      <w:rFonts w:ascii="Cambria Math" w:hAnsi="Cambria Math"/>
                    </w:rPr>
                    <m:t>h</m:t>
                  </m:r>
                </m:sub>
              </m:sSub>
            </m:oMath>
          </w:p>
        </w:tc>
        <w:tc>
          <w:tcPr>
            <w:tcW w:w="360" w:type="dxa"/>
          </w:tcPr>
          <w:p w:rsidR="009166AD" w:rsidRDefault="009166AD" w:rsidP="00646DE4">
            <w:r>
              <w:t>=</w:t>
            </w:r>
          </w:p>
        </w:tc>
        <w:tc>
          <w:tcPr>
            <w:tcW w:w="7038" w:type="dxa"/>
          </w:tcPr>
          <w:p w:rsidR="009166AD" w:rsidRPr="00931A86" w:rsidRDefault="009166AD" w:rsidP="00646DE4">
            <w:r>
              <w:t xml:space="preserve">Ancova intercepts for  </w:t>
            </w:r>
            <m:oMath>
              <m:r>
                <w:rPr>
                  <w:rFonts w:ascii="Cambria Math" w:hAnsi="Cambria Math"/>
                </w:rPr>
                <m:t>α</m:t>
              </m:r>
            </m:oMath>
            <w:r w:rsidRPr="00B1575C">
              <w:t xml:space="preserve"> and </w:t>
            </w:r>
            <m:oMath>
              <m:r>
                <w:rPr>
                  <w:rFonts w:ascii="Cambria Math" w:hAnsi="Cambria Math"/>
                </w:rPr>
                <m:t>β</m:t>
              </m:r>
            </m:oMath>
          </w:p>
        </w:tc>
      </w:tr>
      <w:tr w:rsidR="009166AD" w:rsidTr="00646DE4">
        <w:tc>
          <w:tcPr>
            <w:tcW w:w="1440" w:type="dxa"/>
          </w:tcPr>
          <w:p w:rsidR="009166AD" w:rsidRDefault="009166AD" w:rsidP="00646DE4">
            <m:oMathPara>
              <m:oMath>
                <m:r>
                  <w:rPr>
                    <w:rFonts w:ascii="Cambria Math" w:hAnsi="Cambria Math"/>
                  </w:rPr>
                  <m:t>sat</m:t>
                </m:r>
              </m:oMath>
            </m:oMathPara>
          </w:p>
        </w:tc>
        <w:tc>
          <w:tcPr>
            <w:tcW w:w="360" w:type="dxa"/>
          </w:tcPr>
          <w:p w:rsidR="009166AD" w:rsidRDefault="009166AD" w:rsidP="00646DE4">
            <w:r>
              <w:t>=</w:t>
            </w:r>
          </w:p>
        </w:tc>
        <w:tc>
          <w:tcPr>
            <w:tcW w:w="7038" w:type="dxa"/>
          </w:tcPr>
          <w:p w:rsidR="009166AD" w:rsidRPr="008D7703" w:rsidRDefault="009166AD" w:rsidP="00646DE4">
            <w:r>
              <w:t>CFL Saturation in the household</w:t>
            </w:r>
          </w:p>
        </w:tc>
      </w:tr>
      <w:tr w:rsidR="009166AD" w:rsidTr="00646DE4">
        <w:tc>
          <w:tcPr>
            <w:tcW w:w="1440" w:type="dxa"/>
          </w:tcPr>
          <w:p w:rsidR="009166AD" w:rsidRDefault="006A387D" w:rsidP="00646DE4">
            <m:oMath>
              <m:sSub>
                <m:sSubPr>
                  <m:ctrlPr>
                    <w:rPr>
                      <w:rFonts w:ascii="Cambria Math" w:hAnsi="Cambria Math"/>
                    </w:rPr>
                  </m:ctrlPr>
                </m:sSubPr>
                <m:e>
                  <m:r>
                    <w:rPr>
                      <w:rFonts w:ascii="Cambria Math" w:hAnsi="Cambria Math"/>
                    </w:rPr>
                    <m:t>λ</m:t>
                  </m:r>
                </m:e>
                <m:sub>
                  <m:r>
                    <w:rPr>
                      <w:rFonts w:ascii="Cambria Math" w:hAnsi="Cambria Math"/>
                    </w:rPr>
                    <m:t>α</m:t>
                  </m:r>
                  <m:r>
                    <m:rPr>
                      <m:sty m:val="p"/>
                    </m:rPr>
                    <w:rPr>
                      <w:rFonts w:ascii="Cambria Math" w:hAnsi="Cambria Math"/>
                    </w:rPr>
                    <m:t xml:space="preserve">, </m:t>
                  </m:r>
                  <m:r>
                    <w:rPr>
                      <w:rFonts w:ascii="Cambria Math" w:hAnsi="Cambria Math"/>
                    </w:rPr>
                    <m:t>h</m:t>
                  </m:r>
                </m:sub>
              </m:sSub>
            </m:oMath>
            <w:r w:rsidR="009166AD" w:rsidRPr="00B1575C">
              <w:t xml:space="preserve">, </w:t>
            </w:r>
            <m:oMath>
              <m:sSub>
                <m:sSubPr>
                  <m:ctrlPr>
                    <w:rPr>
                      <w:rFonts w:ascii="Cambria Math" w:hAnsi="Cambria Math"/>
                    </w:rPr>
                  </m:ctrlPr>
                </m:sSubPr>
                <m:e>
                  <m:r>
                    <w:rPr>
                      <w:rFonts w:ascii="Cambria Math" w:hAnsi="Cambria Math"/>
                    </w:rPr>
                    <m:t>λ</m:t>
                  </m:r>
                </m:e>
                <m:sub>
                  <m:r>
                    <w:rPr>
                      <w:rFonts w:ascii="Cambria Math" w:hAnsi="Cambria Math"/>
                    </w:rPr>
                    <m:t>β</m:t>
                  </m:r>
                  <m:r>
                    <m:rPr>
                      <m:sty m:val="p"/>
                    </m:rPr>
                    <w:rPr>
                      <w:rFonts w:ascii="Cambria Math" w:hAnsi="Cambria Math"/>
                    </w:rPr>
                    <m:t xml:space="preserve">, </m:t>
                  </m:r>
                  <m:r>
                    <w:rPr>
                      <w:rFonts w:ascii="Cambria Math" w:hAnsi="Cambria Math"/>
                    </w:rPr>
                    <m:t>h</m:t>
                  </m:r>
                </m:sub>
              </m:sSub>
            </m:oMath>
          </w:p>
        </w:tc>
        <w:tc>
          <w:tcPr>
            <w:tcW w:w="360" w:type="dxa"/>
          </w:tcPr>
          <w:p w:rsidR="009166AD" w:rsidRDefault="009166AD" w:rsidP="00646DE4">
            <w:r>
              <w:t>=</w:t>
            </w:r>
          </w:p>
        </w:tc>
        <w:tc>
          <w:tcPr>
            <w:tcW w:w="7038" w:type="dxa"/>
          </w:tcPr>
          <w:p w:rsidR="009166AD" w:rsidRPr="00B1575C" w:rsidRDefault="009166AD" w:rsidP="00646DE4">
            <w:pPr>
              <w:rPr>
                <w:i/>
              </w:rPr>
            </w:pPr>
            <w:r>
              <w:t xml:space="preserve">CFL Saturation coefficients for  </w:t>
            </w:r>
            <m:oMath>
              <m:r>
                <w:rPr>
                  <w:rFonts w:ascii="Cambria Math" w:hAnsi="Cambria Math"/>
                </w:rPr>
                <m:t>α</m:t>
              </m:r>
            </m:oMath>
            <w:r w:rsidRPr="00B1575C">
              <w:t xml:space="preserve"> and </w:t>
            </w:r>
            <m:oMath>
              <m:r>
                <w:rPr>
                  <w:rFonts w:ascii="Cambria Math" w:hAnsi="Cambria Math"/>
                </w:rPr>
                <m:t>β</m:t>
              </m:r>
            </m:oMath>
          </w:p>
        </w:tc>
      </w:tr>
      <w:tr w:rsidR="009166AD" w:rsidTr="00646DE4">
        <w:tc>
          <w:tcPr>
            <w:tcW w:w="1440" w:type="dxa"/>
          </w:tcPr>
          <w:p w:rsidR="009166AD" w:rsidRDefault="006A387D" w:rsidP="00646DE4">
            <m:oMath>
              <m:sSub>
                <m:sSubPr>
                  <m:ctrlPr>
                    <w:rPr>
                      <w:rFonts w:ascii="Cambria Math" w:hAnsi="Cambria Math"/>
                    </w:rPr>
                  </m:ctrlPr>
                </m:sSubPr>
                <m:e>
                  <m:r>
                    <w:rPr>
                      <w:rFonts w:ascii="Cambria Math" w:hAnsi="Cambria Math"/>
                    </w:rPr>
                    <m:t>μ</m:t>
                  </m:r>
                </m:e>
                <m:sub>
                  <m:r>
                    <w:rPr>
                      <w:rFonts w:ascii="Cambria Math" w:hAnsi="Cambria Math"/>
                    </w:rPr>
                    <m:t>α</m:t>
                  </m:r>
                  <m:r>
                    <m:rPr>
                      <m:sty m:val="p"/>
                    </m:rPr>
                    <w:rPr>
                      <w:rFonts w:ascii="Cambria Math" w:hAnsi="Cambria Math"/>
                    </w:rPr>
                    <m:t>,</m:t>
                  </m:r>
                  <m:r>
                    <w:rPr>
                      <w:rFonts w:ascii="Cambria Math" w:hAnsi="Cambria Math"/>
                    </w:rPr>
                    <m:t>ih</m:t>
                  </m:r>
                </m:sub>
              </m:sSub>
            </m:oMath>
            <w:r w:rsidR="009166AD" w:rsidRPr="00B1575C">
              <w:t xml:space="preserve">, </w:t>
            </w:r>
            <m:oMath>
              <m:sSub>
                <m:sSubPr>
                  <m:ctrlPr>
                    <w:rPr>
                      <w:rFonts w:ascii="Cambria Math" w:hAnsi="Cambria Math"/>
                    </w:rPr>
                  </m:ctrlPr>
                </m:sSubPr>
                <m:e>
                  <m:r>
                    <w:rPr>
                      <w:rFonts w:ascii="Cambria Math" w:hAnsi="Cambria Math"/>
                    </w:rPr>
                    <m:t>μ</m:t>
                  </m:r>
                </m:e>
                <m:sub>
                  <m:r>
                    <w:rPr>
                      <w:rFonts w:ascii="Cambria Math" w:hAnsi="Cambria Math"/>
                    </w:rPr>
                    <m:t>β</m:t>
                  </m:r>
                  <m:r>
                    <m:rPr>
                      <m:sty m:val="p"/>
                    </m:rPr>
                    <w:rPr>
                      <w:rFonts w:ascii="Cambria Math" w:hAnsi="Cambria Math"/>
                    </w:rPr>
                    <m:t>,</m:t>
                  </m:r>
                  <m:r>
                    <w:rPr>
                      <w:rFonts w:ascii="Cambria Math" w:hAnsi="Cambria Math"/>
                    </w:rPr>
                    <m:t>ih</m:t>
                  </m:r>
                </m:sub>
              </m:sSub>
            </m:oMath>
          </w:p>
        </w:tc>
        <w:tc>
          <w:tcPr>
            <w:tcW w:w="360" w:type="dxa"/>
          </w:tcPr>
          <w:p w:rsidR="009166AD" w:rsidRDefault="009166AD" w:rsidP="00646DE4">
            <w:r>
              <w:t>=</w:t>
            </w:r>
          </w:p>
        </w:tc>
        <w:tc>
          <w:tcPr>
            <w:tcW w:w="7038" w:type="dxa"/>
          </w:tcPr>
          <w:p w:rsidR="009166AD" w:rsidRDefault="009166AD" w:rsidP="00646DE4">
            <w:r>
              <w:t>Residual errors.</w:t>
            </w:r>
          </w:p>
        </w:tc>
      </w:tr>
    </w:tbl>
    <w:p w:rsidR="009166AD" w:rsidRDefault="009166AD" w:rsidP="009166AD">
      <w:r>
        <w:t>The coefficients of CFL saturation provide a measure of how much a unit change in CFL saturation will affect the sinusoid coefficients, which in turn determine the lighting profiles.  Since the DEER team has projections of CFL saturation increment for all years of interest, one can calculate adjustments for the sinusoid coefficients by multiplying the saturation coefficient and the saturation increment:</w:t>
      </w:r>
    </w:p>
    <w:p w:rsidR="009166AD" w:rsidRDefault="009166AD" w:rsidP="009166AD">
      <m:oMathPara>
        <m:oMath>
          <m:r>
            <w:rPr>
              <w:rFonts w:ascii="Cambria Math" w:hAnsi="Cambria Math"/>
            </w:rPr>
            <m:t>ad</m:t>
          </m:r>
          <m:sSub>
            <m:sSubPr>
              <m:ctrlPr>
                <w:rPr>
                  <w:rFonts w:ascii="Cambria Math" w:hAnsi="Cambria Math"/>
                </w:rPr>
              </m:ctrlPr>
            </m:sSubPr>
            <m:e>
              <m:r>
                <w:rPr>
                  <w:rFonts w:ascii="Cambria Math" w:hAnsi="Cambria Math"/>
                </w:rPr>
                <m:t>j</m:t>
              </m:r>
            </m:e>
            <m:sub>
              <m:r>
                <w:rPr>
                  <w:rFonts w:ascii="Cambria Math" w:hAnsi="Cambria Math"/>
                </w:rPr>
                <m:t>α</m:t>
              </m:r>
              <m:r>
                <m:rPr>
                  <m:sty m:val="p"/>
                </m:rPr>
                <w:rPr>
                  <w:rFonts w:ascii="Cambria Math" w:hAnsi="Cambria Math"/>
                </w:rPr>
                <m:t>,</m:t>
              </m:r>
              <m:r>
                <w:rPr>
                  <w:rFonts w:ascii="Cambria Math" w:hAnsi="Cambria Math"/>
                </w:rPr>
                <m:t>yh</m:t>
              </m:r>
            </m:sub>
          </m:sSub>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rPr>
                <m:t>α</m:t>
              </m:r>
              <m:r>
                <m:rPr>
                  <m:sty m:val="p"/>
                </m:rPr>
                <w:rPr>
                  <w:rFonts w:ascii="Cambria Math" w:hAnsi="Cambria Math"/>
                </w:rPr>
                <m:t>,</m:t>
              </m:r>
              <m:r>
                <w:rPr>
                  <w:rFonts w:ascii="Cambria Math" w:hAnsi="Cambria Math"/>
                </w:rPr>
                <m:t>h</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sat</m:t>
              </m:r>
              <m:r>
                <m:rPr>
                  <m:sty m:val="p"/>
                </m:rPr>
                <w:rPr>
                  <w:rFonts w:ascii="Cambria Math" w:hAnsi="Cambria Math"/>
                </w:rPr>
                <m:t>,</m:t>
              </m:r>
              <m:r>
                <w:rPr>
                  <w:rFonts w:ascii="Cambria Math" w:hAnsi="Cambria Math"/>
                </w:rPr>
                <m:t>y</m:t>
              </m:r>
            </m:sub>
          </m:sSub>
        </m:oMath>
        <w:r w:rsidRPr="00B1575C">
          <w:rPr>
            <w:rFonts w:ascii="Cambria Math" w:hAnsi="Cambria Math"/>
          </w:rPr>
          <w:br/>
        </w:r>
        <m:oMath>
          <m:r>
            <w:rPr>
              <w:rFonts w:ascii="Cambria Math" w:hAnsi="Cambria Math"/>
            </w:rPr>
            <m:t>ad</m:t>
          </m:r>
          <m:sSub>
            <m:sSubPr>
              <m:ctrlPr>
                <w:rPr>
                  <w:rFonts w:ascii="Cambria Math" w:hAnsi="Cambria Math"/>
                </w:rPr>
              </m:ctrlPr>
            </m:sSubPr>
            <m:e>
              <m:r>
                <w:rPr>
                  <w:rFonts w:ascii="Cambria Math" w:hAnsi="Cambria Math"/>
                </w:rPr>
                <m:t>j</m:t>
              </m:r>
            </m:e>
            <m:sub>
              <m:r>
                <w:rPr>
                  <w:rFonts w:ascii="Cambria Math" w:hAnsi="Cambria Math"/>
                </w:rPr>
                <m:t>β</m:t>
              </m:r>
              <m:r>
                <m:rPr>
                  <m:sty m:val="p"/>
                </m:rPr>
                <w:rPr>
                  <w:rFonts w:ascii="Cambria Math" w:hAnsi="Cambria Math"/>
                </w:rPr>
                <m:t>,</m:t>
              </m:r>
              <m:r>
                <w:rPr>
                  <w:rFonts w:ascii="Cambria Math" w:hAnsi="Cambria Math"/>
                </w:rPr>
                <m:t>yh</m:t>
              </m:r>
            </m:sub>
          </m:sSub>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rPr>
                <m:t>β</m:t>
              </m:r>
              <m:r>
                <m:rPr>
                  <m:sty m:val="p"/>
                </m:rPr>
                <w:rPr>
                  <w:rFonts w:ascii="Cambria Math" w:hAnsi="Cambria Math"/>
                </w:rPr>
                <m:t>,</m:t>
              </m:r>
              <m:r>
                <w:rPr>
                  <w:rFonts w:ascii="Cambria Math" w:hAnsi="Cambria Math"/>
                </w:rPr>
                <m:t>h</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sat</m:t>
              </m:r>
              <m:r>
                <m:rPr>
                  <m:sty m:val="p"/>
                </m:rPr>
                <w:rPr>
                  <w:rFonts w:ascii="Cambria Math" w:hAnsi="Cambria Math"/>
                </w:rPr>
                <m:t>,</m:t>
              </m:r>
              <m:r>
                <w:rPr>
                  <w:rFonts w:ascii="Cambria Math" w:hAnsi="Cambria Math"/>
                </w:rPr>
                <m:t>y</m:t>
              </m:r>
            </m:sub>
          </m:sSub>
          <m:r>
            <m:rPr>
              <m:sty m:val="p"/>
            </m:rPr>
            <w:rPr>
              <w:rFonts w:ascii="Cambria Math" w:hAnsi="Cambria Math"/>
            </w:rPr>
            <m:t xml:space="preserve"> </m:t>
          </m:r>
        </m:oMath>
      </m:oMathPara>
    </w:p>
    <w:p w:rsidR="009166AD" w:rsidRDefault="009166AD" w:rsidP="009166AD">
      <w:r>
        <w:t>These adjustments can be applied to profiles developed using either the direct expansion or Ancova methods.  When applied to the direct expansion results, we first calculate adjusted coefficients:</w:t>
      </w:r>
    </w:p>
    <w:p w:rsidR="009166AD" w:rsidRPr="00190C22" w:rsidRDefault="006A387D" w:rsidP="009166AD">
      <m:oMathPara>
        <m:oMath>
          <m:sSubSup>
            <m:sSubSupPr>
              <m:ctrlPr>
                <w:rPr>
                  <w:rFonts w:ascii="Cambria Math" w:hAnsi="Cambria Math"/>
                </w:rPr>
              </m:ctrlPr>
            </m:sSubSupPr>
            <m:e>
              <m:r>
                <w:rPr>
                  <w:rFonts w:ascii="Cambria Math" w:hAnsi="Cambria Math"/>
                </w:rPr>
                <m:t>α</m:t>
              </m:r>
            </m:e>
            <m:sub>
              <m:r>
                <w:rPr>
                  <w:rFonts w:ascii="Cambria Math" w:hAnsi="Cambria Math"/>
                </w:rPr>
                <m:t>iyh</m:t>
              </m:r>
            </m:sub>
            <m:sup>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ih</m:t>
              </m:r>
            </m:sub>
          </m:sSub>
          <m:r>
            <m:rPr>
              <m:sty m:val="p"/>
            </m:rPr>
            <w:rPr>
              <w:rFonts w:ascii="Cambria Math" w:hAnsi="Cambria Math"/>
            </w:rPr>
            <m:t>+</m:t>
          </m:r>
          <m:r>
            <w:rPr>
              <w:rFonts w:ascii="Cambria Math" w:hAnsi="Cambria Math"/>
            </w:rPr>
            <m:t>ad</m:t>
          </m:r>
          <m:sSub>
            <m:sSubPr>
              <m:ctrlPr>
                <w:rPr>
                  <w:rFonts w:ascii="Cambria Math" w:hAnsi="Cambria Math"/>
                </w:rPr>
              </m:ctrlPr>
            </m:sSubPr>
            <m:e>
              <m:r>
                <w:rPr>
                  <w:rFonts w:ascii="Cambria Math" w:hAnsi="Cambria Math"/>
                </w:rPr>
                <m:t>j</m:t>
              </m:r>
            </m:e>
            <m:sub>
              <m:r>
                <w:rPr>
                  <w:rFonts w:ascii="Cambria Math" w:hAnsi="Cambria Math"/>
                </w:rPr>
                <m:t>α</m:t>
              </m:r>
              <m:r>
                <m:rPr>
                  <m:sty m:val="p"/>
                </m:rPr>
                <w:rPr>
                  <w:rFonts w:ascii="Cambria Math" w:hAnsi="Cambria Math"/>
                </w:rPr>
                <m:t>,</m:t>
              </m:r>
              <m:r>
                <w:rPr>
                  <w:rFonts w:ascii="Cambria Math" w:hAnsi="Cambria Math"/>
                </w:rPr>
                <m:t>yh</m:t>
              </m:r>
            </m:sub>
          </m:sSub>
        </m:oMath>
        <w:r w:rsidR="009166AD">
          <w:br/>
        </w:r>
        <m:oMath>
          <m:sSubSup>
            <m:sSubSupPr>
              <m:ctrlPr>
                <w:rPr>
                  <w:rFonts w:ascii="Cambria Math" w:hAnsi="Cambria Math"/>
                </w:rPr>
              </m:ctrlPr>
            </m:sSubSupPr>
            <m:e>
              <m:r>
                <w:rPr>
                  <w:rFonts w:ascii="Cambria Math" w:hAnsi="Cambria Math"/>
                </w:rPr>
                <m:t>β</m:t>
              </m:r>
            </m:e>
            <m:sub>
              <m:r>
                <w:rPr>
                  <w:rFonts w:ascii="Cambria Math" w:hAnsi="Cambria Math"/>
                </w:rPr>
                <m:t>iyh</m:t>
              </m:r>
            </m:sub>
            <m:sup>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ih</m:t>
              </m:r>
            </m:sub>
          </m:sSub>
          <m:r>
            <m:rPr>
              <m:sty m:val="p"/>
            </m:rPr>
            <w:rPr>
              <w:rFonts w:ascii="Cambria Math" w:hAnsi="Cambria Math"/>
            </w:rPr>
            <m:t>+</m:t>
          </m:r>
          <m:r>
            <w:rPr>
              <w:rFonts w:ascii="Cambria Math" w:hAnsi="Cambria Math"/>
            </w:rPr>
            <m:t>ad</m:t>
          </m:r>
          <m:sSub>
            <m:sSubPr>
              <m:ctrlPr>
                <w:rPr>
                  <w:rFonts w:ascii="Cambria Math" w:hAnsi="Cambria Math"/>
                </w:rPr>
              </m:ctrlPr>
            </m:sSubPr>
            <m:e>
              <m:r>
                <w:rPr>
                  <w:rFonts w:ascii="Cambria Math" w:hAnsi="Cambria Math"/>
                </w:rPr>
                <m:t>j</m:t>
              </m:r>
            </m:e>
            <m:sub>
              <m:r>
                <w:rPr>
                  <w:rFonts w:ascii="Cambria Math" w:hAnsi="Cambria Math"/>
                </w:rPr>
                <m:t>β</m:t>
              </m:r>
              <m:r>
                <m:rPr>
                  <m:sty m:val="p"/>
                </m:rPr>
                <w:rPr>
                  <w:rFonts w:ascii="Cambria Math" w:hAnsi="Cambria Math"/>
                </w:rPr>
                <m:t>,</m:t>
              </m:r>
              <m:r>
                <w:rPr>
                  <w:rFonts w:ascii="Cambria Math" w:hAnsi="Cambria Math"/>
                </w:rPr>
                <m:t>yh</m:t>
              </m:r>
            </m:sub>
          </m:sSub>
        </m:oMath>
      </m:oMathPara>
    </w:p>
    <w:p w:rsidR="009166AD" w:rsidRPr="00190C22" w:rsidRDefault="009166AD" w:rsidP="009166AD">
      <w:r>
        <w:lastRenderedPageBreak/>
        <w:t>We then calculate projections of percent on for each logger and each year by:</w:t>
      </w:r>
    </w:p>
    <w:p w:rsidR="009166AD" w:rsidRDefault="009166AD" w:rsidP="009166AD">
      <m:oMathPara>
        <m:oMath>
          <m:r>
            <w:rPr>
              <w:rFonts w:ascii="Cambria Math" w:hAnsi="Cambria Math"/>
            </w:rPr>
            <m:t>p</m:t>
          </m:r>
          <m:sSubSup>
            <m:sSubSupPr>
              <m:ctrlPr>
                <w:rPr>
                  <w:rFonts w:ascii="Cambria Math" w:hAnsi="Cambria Math"/>
                </w:rPr>
              </m:ctrlPr>
            </m:sSubSupPr>
            <m:e>
              <m:r>
                <w:rPr>
                  <w:rFonts w:ascii="Cambria Math" w:hAnsi="Cambria Math"/>
                </w:rPr>
                <m:t>ct</m:t>
              </m:r>
            </m:e>
            <m:sub>
              <m:r>
                <w:rPr>
                  <w:rFonts w:ascii="Cambria Math" w:hAnsi="Cambria Math"/>
                </w:rPr>
                <m:t>iydh</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α</m:t>
              </m:r>
            </m:e>
            <m:sub>
              <m:r>
                <w:rPr>
                  <w:rFonts w:ascii="Cambria Math" w:hAnsi="Cambria Math"/>
                </w:rPr>
                <m:t>ih</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β</m:t>
              </m:r>
            </m:e>
            <m:sub>
              <m:r>
                <w:rPr>
                  <w:rFonts w:ascii="Cambria Math" w:hAnsi="Cambria Math"/>
                </w:rPr>
                <m:t>ih</m:t>
              </m:r>
            </m:sub>
            <m:sup>
              <m:r>
                <m:rPr>
                  <m:sty m:val="p"/>
                </m:rPr>
                <w:rPr>
                  <w:rFonts w:ascii="Cambria Math" w:hAnsi="Cambria Math"/>
                </w:rPr>
                <m:t>'</m:t>
              </m:r>
            </m:sup>
          </m:sSubSup>
          <m:r>
            <m:rPr>
              <m:sty m:val="p"/>
            </m:rPr>
            <w:rPr>
              <w:rFonts w:ascii="Cambria Math" w:hAnsi="Cambria Math"/>
            </w:rPr>
            <m:t>sin⁡(</m:t>
          </m:r>
          <m:sSub>
            <m:sSubPr>
              <m:ctrlPr>
                <w:rPr>
                  <w:rFonts w:ascii="Cambria Math" w:hAnsi="Cambria Math"/>
                </w:rPr>
              </m:ctrlPr>
            </m:sSubPr>
            <m:e>
              <m:r>
                <w:rPr>
                  <w:rFonts w:ascii="Cambria Math" w:hAnsi="Cambria Math"/>
                </w:rPr>
                <m:t>θ</m:t>
              </m:r>
            </m:e>
            <m:sub>
              <m:r>
                <w:rPr>
                  <w:rFonts w:ascii="Cambria Math" w:hAnsi="Cambria Math"/>
                </w:rPr>
                <m:t>d</m:t>
              </m:r>
            </m:sub>
          </m:sSub>
          <m:r>
            <m:rPr>
              <m:sty m:val="p"/>
            </m:rPr>
            <w:rPr>
              <w:rFonts w:ascii="Cambria Math" w:hAnsi="Cambria Math"/>
            </w:rPr>
            <m:t>)</m:t>
          </m:r>
        </m:oMath>
      </m:oMathPara>
    </w:p>
    <w:p w:rsidR="009166AD" w:rsidRDefault="009166AD" w:rsidP="009166AD">
      <w:r>
        <w:t>The calculation is analogous for the Ancova method, but it is performed for each fixture group in the inventory instead of each logger in the sample.  With either approach we can create lighting profiles by taking weighted averages of the individual profiles at the levels of aggregation of interest.</w:t>
      </w:r>
    </w:p>
    <w:p w:rsidR="009166AD" w:rsidRDefault="009166AD" w:rsidP="009166AD">
      <w:r>
        <w:t>For the short-term DEER update, we produced projections of lighting profiles using the Ancova model, not the direct expansion approach.  This is because the DEER update required profiles at particular levels of analysis for which only a limited sample size was available.  The team emphasizes that in aggregate, both approaches give nearly indistinguishable results; it is only for finer cuts that we recommend using the Ancova model because it takes advantage of information from the inventory.</w:t>
      </w:r>
    </w:p>
    <w:p w:rsidR="009166AD" w:rsidRDefault="009166AD" w:rsidP="009166AD">
      <w:r>
        <w:t xml:space="preserve">Because the lighting profiles span thousands of lines, we provide them in a separate appendix.  To give an overview, we present projections of annual hours-of-use for CFLs in </w:t>
      </w:r>
      <w:fldSimple w:instr=" REF _Ref307563430 ">
        <w:r>
          <w:t xml:space="preserve">Table </w:t>
        </w:r>
        <w:r>
          <w:rPr>
            <w:noProof/>
          </w:rPr>
          <w:t>3</w:t>
        </w:r>
        <w:r>
          <w:noBreakHyphen/>
        </w:r>
        <w:r>
          <w:rPr>
            <w:noProof/>
          </w:rPr>
          <w:t>6</w:t>
        </w:r>
      </w:fldSimple>
      <w:r>
        <w:t xml:space="preserve"> and </w:t>
      </w:r>
      <w:fldSimple w:instr=" REF _Ref307563543 ">
        <w:r>
          <w:t xml:space="preserve">Table </w:t>
        </w:r>
        <w:r>
          <w:rPr>
            <w:noProof/>
          </w:rPr>
          <w:t>3</w:t>
        </w:r>
        <w:r>
          <w:noBreakHyphen/>
        </w:r>
        <w:r>
          <w:rPr>
            <w:noProof/>
          </w:rPr>
          <w:t>7</w:t>
        </w:r>
      </w:fldSimple>
      <w:r>
        <w:t>.  As expected, the projected hours-of-use decrease across the years, but at a relatively small rate.</w:t>
      </w:r>
    </w:p>
    <w:p w:rsidR="009166AD" w:rsidRDefault="009166AD" w:rsidP="009166AD">
      <w:pPr>
        <w:spacing w:after="130"/>
        <w:ind w:left="720" w:hanging="432"/>
      </w:pPr>
      <w:r>
        <w:br w:type="page"/>
      </w:r>
    </w:p>
    <w:p w:rsidR="009166AD" w:rsidRDefault="009166AD" w:rsidP="009166AD">
      <w:pPr>
        <w:pStyle w:val="Caption"/>
      </w:pPr>
      <w:bookmarkStart w:id="8" w:name="_Ref307563430"/>
      <w:r>
        <w:lastRenderedPageBreak/>
        <w:t xml:space="preserve">Table </w:t>
      </w:r>
      <w:fldSimple w:instr=" STYLEREF 1 \s ">
        <w:r>
          <w:rPr>
            <w:noProof/>
          </w:rPr>
          <w:t>3</w:t>
        </w:r>
      </w:fldSimple>
      <w:r>
        <w:noBreakHyphen/>
      </w:r>
      <w:fldSimple w:instr=" SEQ Table \* ARABIC \s 1 ">
        <w:r>
          <w:rPr>
            <w:noProof/>
          </w:rPr>
          <w:t>6</w:t>
        </w:r>
      </w:fldSimple>
      <w:bookmarkEnd w:id="8"/>
      <w:r>
        <w:t>: Projected CFL Hours-of-Use by IOU and Space Type for Scenario “Constant”</w:t>
      </w:r>
    </w:p>
    <w:tbl>
      <w:tblPr>
        <w:tblW w:w="8460" w:type="dxa"/>
        <w:tblInd w:w="103" w:type="dxa"/>
        <w:tblLook w:val="00A0"/>
      </w:tblPr>
      <w:tblGrid>
        <w:gridCol w:w="1180"/>
        <w:gridCol w:w="1160"/>
        <w:gridCol w:w="1020"/>
        <w:gridCol w:w="1020"/>
        <w:gridCol w:w="1020"/>
        <w:gridCol w:w="1020"/>
        <w:gridCol w:w="1020"/>
        <w:gridCol w:w="1020"/>
      </w:tblGrid>
      <w:tr w:rsidR="009166AD" w:rsidRPr="0048391A" w:rsidTr="00646DE4">
        <w:trPr>
          <w:trHeight w:val="300"/>
        </w:trPr>
        <w:tc>
          <w:tcPr>
            <w:tcW w:w="2340" w:type="dxa"/>
            <w:gridSpan w:val="2"/>
            <w:vMerge w:val="restart"/>
            <w:tcBorders>
              <w:top w:val="single" w:sz="12" w:space="0" w:color="auto"/>
              <w:left w:val="single" w:sz="12" w:space="0" w:color="auto"/>
              <w:bottom w:val="single" w:sz="4" w:space="0" w:color="auto"/>
              <w:right w:val="single" w:sz="4" w:space="0" w:color="auto"/>
            </w:tcBorders>
            <w:shd w:val="pct20" w:color="auto" w:fill="auto"/>
            <w:vAlign w:val="center"/>
          </w:tcPr>
          <w:p w:rsidR="009166AD" w:rsidRPr="0048391A" w:rsidRDefault="009166AD" w:rsidP="00646DE4">
            <w:pPr>
              <w:spacing w:after="0"/>
              <w:rPr>
                <w:sz w:val="18"/>
                <w:szCs w:val="18"/>
              </w:rPr>
            </w:pPr>
            <w:r w:rsidRPr="0048391A">
              <w:rPr>
                <w:sz w:val="18"/>
                <w:szCs w:val="18"/>
              </w:rPr>
              <w:t> </w:t>
            </w:r>
          </w:p>
        </w:tc>
        <w:tc>
          <w:tcPr>
            <w:tcW w:w="6120" w:type="dxa"/>
            <w:gridSpan w:val="6"/>
            <w:tcBorders>
              <w:top w:val="single" w:sz="12" w:space="0" w:color="auto"/>
              <w:left w:val="nil"/>
              <w:bottom w:val="single" w:sz="4" w:space="0" w:color="auto"/>
              <w:right w:val="single" w:sz="12" w:space="0" w:color="auto"/>
            </w:tcBorders>
            <w:shd w:val="pct20" w:color="auto" w:fill="auto"/>
            <w:noWrap/>
            <w:vAlign w:val="center"/>
          </w:tcPr>
          <w:p w:rsidR="009166AD" w:rsidRPr="0048391A" w:rsidRDefault="009166AD" w:rsidP="00646DE4">
            <w:pPr>
              <w:spacing w:after="0"/>
              <w:jc w:val="center"/>
              <w:rPr>
                <w:b/>
                <w:sz w:val="18"/>
                <w:szCs w:val="18"/>
              </w:rPr>
            </w:pPr>
            <w:r w:rsidRPr="0048391A">
              <w:rPr>
                <w:b/>
                <w:sz w:val="18"/>
                <w:szCs w:val="18"/>
              </w:rPr>
              <w:t>Space Type</w:t>
            </w:r>
          </w:p>
        </w:tc>
      </w:tr>
      <w:tr w:rsidR="009166AD" w:rsidRPr="0048391A" w:rsidTr="00646DE4">
        <w:trPr>
          <w:trHeight w:val="360"/>
        </w:trPr>
        <w:tc>
          <w:tcPr>
            <w:tcW w:w="2340" w:type="dxa"/>
            <w:gridSpan w:val="2"/>
            <w:vMerge/>
            <w:tcBorders>
              <w:top w:val="single" w:sz="4" w:space="0" w:color="auto"/>
              <w:left w:val="single" w:sz="12" w:space="0" w:color="auto"/>
              <w:bottom w:val="single" w:sz="8" w:space="0" w:color="auto"/>
              <w:right w:val="single" w:sz="4" w:space="0" w:color="auto"/>
            </w:tcBorders>
            <w:shd w:val="pct20" w:color="auto" w:fill="auto"/>
            <w:vAlign w:val="center"/>
          </w:tcPr>
          <w:p w:rsidR="009166AD" w:rsidRPr="0048391A" w:rsidRDefault="009166AD" w:rsidP="00646DE4">
            <w:pPr>
              <w:spacing w:after="0"/>
              <w:rPr>
                <w:b/>
                <w:sz w:val="18"/>
                <w:szCs w:val="18"/>
              </w:rPr>
            </w:pPr>
          </w:p>
        </w:tc>
        <w:tc>
          <w:tcPr>
            <w:tcW w:w="2040" w:type="dxa"/>
            <w:gridSpan w:val="2"/>
            <w:tcBorders>
              <w:top w:val="single" w:sz="4" w:space="0" w:color="auto"/>
              <w:left w:val="nil"/>
              <w:bottom w:val="single" w:sz="8" w:space="0" w:color="auto"/>
              <w:right w:val="single" w:sz="4" w:space="0" w:color="auto"/>
            </w:tcBorders>
            <w:shd w:val="pct20" w:color="auto" w:fill="auto"/>
            <w:vAlign w:val="center"/>
          </w:tcPr>
          <w:p w:rsidR="009166AD" w:rsidRPr="0048391A" w:rsidRDefault="009166AD" w:rsidP="00646DE4">
            <w:pPr>
              <w:spacing w:after="0"/>
              <w:jc w:val="center"/>
              <w:rPr>
                <w:b/>
                <w:sz w:val="18"/>
                <w:szCs w:val="18"/>
              </w:rPr>
            </w:pPr>
            <w:r w:rsidRPr="0048391A">
              <w:rPr>
                <w:b/>
                <w:sz w:val="18"/>
                <w:szCs w:val="18"/>
              </w:rPr>
              <w:t>Overall</w:t>
            </w:r>
          </w:p>
        </w:tc>
        <w:tc>
          <w:tcPr>
            <w:tcW w:w="2040" w:type="dxa"/>
            <w:gridSpan w:val="2"/>
            <w:tcBorders>
              <w:top w:val="single" w:sz="4" w:space="0" w:color="auto"/>
              <w:left w:val="nil"/>
              <w:bottom w:val="single" w:sz="8" w:space="0" w:color="auto"/>
              <w:right w:val="single" w:sz="4" w:space="0" w:color="auto"/>
            </w:tcBorders>
            <w:shd w:val="pct20" w:color="auto" w:fill="auto"/>
            <w:vAlign w:val="center"/>
          </w:tcPr>
          <w:p w:rsidR="009166AD" w:rsidRPr="0048391A" w:rsidRDefault="009166AD" w:rsidP="00646DE4">
            <w:pPr>
              <w:spacing w:after="0"/>
              <w:jc w:val="center"/>
              <w:rPr>
                <w:b/>
                <w:sz w:val="18"/>
                <w:szCs w:val="18"/>
              </w:rPr>
            </w:pPr>
            <w:r w:rsidRPr="0048391A">
              <w:rPr>
                <w:b/>
                <w:sz w:val="18"/>
                <w:szCs w:val="18"/>
              </w:rPr>
              <w:t>Interior</w:t>
            </w:r>
          </w:p>
        </w:tc>
        <w:tc>
          <w:tcPr>
            <w:tcW w:w="2040" w:type="dxa"/>
            <w:gridSpan w:val="2"/>
            <w:tcBorders>
              <w:top w:val="single" w:sz="4" w:space="0" w:color="auto"/>
              <w:left w:val="nil"/>
              <w:bottom w:val="single" w:sz="8" w:space="0" w:color="auto"/>
              <w:right w:val="single" w:sz="12" w:space="0" w:color="auto"/>
            </w:tcBorders>
            <w:shd w:val="pct20" w:color="auto" w:fill="auto"/>
            <w:vAlign w:val="center"/>
          </w:tcPr>
          <w:p w:rsidR="009166AD" w:rsidRPr="0048391A" w:rsidRDefault="009166AD" w:rsidP="00646DE4">
            <w:pPr>
              <w:spacing w:after="0"/>
              <w:jc w:val="center"/>
              <w:rPr>
                <w:b/>
                <w:sz w:val="18"/>
                <w:szCs w:val="18"/>
              </w:rPr>
            </w:pPr>
            <w:r w:rsidRPr="0048391A">
              <w:rPr>
                <w:b/>
                <w:sz w:val="18"/>
                <w:szCs w:val="18"/>
              </w:rPr>
              <w:t>Exterior</w:t>
            </w:r>
          </w:p>
        </w:tc>
      </w:tr>
      <w:tr w:rsidR="009166AD" w:rsidRPr="0048391A" w:rsidTr="00646DE4">
        <w:trPr>
          <w:trHeight w:val="360"/>
        </w:trPr>
        <w:tc>
          <w:tcPr>
            <w:tcW w:w="1180" w:type="dxa"/>
            <w:tcBorders>
              <w:top w:val="single" w:sz="8" w:space="0" w:color="auto"/>
              <w:left w:val="single" w:sz="12" w:space="0" w:color="auto"/>
              <w:bottom w:val="single" w:sz="12" w:space="0" w:color="auto"/>
              <w:right w:val="single" w:sz="4" w:space="0" w:color="auto"/>
            </w:tcBorders>
            <w:shd w:val="pct20" w:color="auto" w:fill="auto"/>
            <w:vAlign w:val="center"/>
          </w:tcPr>
          <w:p w:rsidR="009166AD" w:rsidRPr="0048391A" w:rsidRDefault="009166AD" w:rsidP="005D7688">
            <w:pPr>
              <w:spacing w:after="0"/>
              <w:jc w:val="center"/>
              <w:rPr>
                <w:b/>
                <w:sz w:val="18"/>
                <w:szCs w:val="18"/>
              </w:rPr>
            </w:pPr>
            <w:r w:rsidRPr="0048391A">
              <w:rPr>
                <w:b/>
                <w:sz w:val="18"/>
                <w:szCs w:val="18"/>
              </w:rPr>
              <w:t>IOU</w:t>
            </w:r>
          </w:p>
        </w:tc>
        <w:tc>
          <w:tcPr>
            <w:tcW w:w="1160" w:type="dxa"/>
            <w:tcBorders>
              <w:top w:val="single" w:sz="8" w:space="0" w:color="auto"/>
              <w:left w:val="nil"/>
              <w:bottom w:val="single" w:sz="12" w:space="0" w:color="auto"/>
              <w:right w:val="single" w:sz="4" w:space="0" w:color="auto"/>
            </w:tcBorders>
            <w:shd w:val="pct20" w:color="auto" w:fill="auto"/>
            <w:vAlign w:val="center"/>
          </w:tcPr>
          <w:p w:rsidR="009166AD" w:rsidRPr="0048391A" w:rsidRDefault="009166AD" w:rsidP="00646DE4">
            <w:pPr>
              <w:spacing w:after="0"/>
              <w:jc w:val="center"/>
              <w:rPr>
                <w:b/>
                <w:sz w:val="18"/>
                <w:szCs w:val="18"/>
              </w:rPr>
            </w:pPr>
            <w:r w:rsidRPr="0048391A">
              <w:rPr>
                <w:b/>
                <w:sz w:val="18"/>
                <w:szCs w:val="18"/>
              </w:rPr>
              <w:t>Year</w:t>
            </w:r>
          </w:p>
        </w:tc>
        <w:tc>
          <w:tcPr>
            <w:tcW w:w="1020" w:type="dxa"/>
            <w:tcBorders>
              <w:top w:val="single" w:sz="8" w:space="0" w:color="auto"/>
              <w:left w:val="nil"/>
              <w:bottom w:val="single" w:sz="12" w:space="0" w:color="auto"/>
              <w:right w:val="single" w:sz="4" w:space="0" w:color="auto"/>
            </w:tcBorders>
            <w:shd w:val="pct20" w:color="auto" w:fill="auto"/>
            <w:vAlign w:val="center"/>
          </w:tcPr>
          <w:p w:rsidR="009166AD" w:rsidRPr="0048391A" w:rsidRDefault="009166AD" w:rsidP="00646DE4">
            <w:pPr>
              <w:spacing w:after="0"/>
              <w:jc w:val="center"/>
              <w:rPr>
                <w:b/>
                <w:sz w:val="18"/>
                <w:szCs w:val="18"/>
              </w:rPr>
            </w:pPr>
            <w:r w:rsidRPr="0048391A">
              <w:rPr>
                <w:b/>
                <w:sz w:val="18"/>
                <w:szCs w:val="18"/>
              </w:rPr>
              <w:t>Num Obs</w:t>
            </w:r>
          </w:p>
        </w:tc>
        <w:tc>
          <w:tcPr>
            <w:tcW w:w="1020" w:type="dxa"/>
            <w:tcBorders>
              <w:top w:val="single" w:sz="8" w:space="0" w:color="auto"/>
              <w:left w:val="nil"/>
              <w:bottom w:val="single" w:sz="12" w:space="0" w:color="auto"/>
              <w:right w:val="single" w:sz="4" w:space="0" w:color="auto"/>
            </w:tcBorders>
            <w:shd w:val="pct20" w:color="auto" w:fill="auto"/>
            <w:vAlign w:val="center"/>
          </w:tcPr>
          <w:p w:rsidR="009166AD" w:rsidRPr="0048391A" w:rsidRDefault="009166AD" w:rsidP="00646DE4">
            <w:pPr>
              <w:spacing w:after="0"/>
              <w:jc w:val="center"/>
              <w:rPr>
                <w:b/>
                <w:sz w:val="18"/>
                <w:szCs w:val="18"/>
              </w:rPr>
            </w:pPr>
            <w:r w:rsidRPr="0048391A">
              <w:rPr>
                <w:b/>
                <w:sz w:val="18"/>
                <w:szCs w:val="18"/>
              </w:rPr>
              <w:t>HOU</w:t>
            </w:r>
          </w:p>
        </w:tc>
        <w:tc>
          <w:tcPr>
            <w:tcW w:w="1020" w:type="dxa"/>
            <w:tcBorders>
              <w:top w:val="single" w:sz="8" w:space="0" w:color="auto"/>
              <w:left w:val="nil"/>
              <w:bottom w:val="single" w:sz="12" w:space="0" w:color="auto"/>
              <w:right w:val="single" w:sz="4" w:space="0" w:color="auto"/>
            </w:tcBorders>
            <w:shd w:val="pct20" w:color="auto" w:fill="auto"/>
            <w:vAlign w:val="center"/>
          </w:tcPr>
          <w:p w:rsidR="009166AD" w:rsidRPr="0048391A" w:rsidRDefault="009166AD" w:rsidP="00646DE4">
            <w:pPr>
              <w:spacing w:after="0"/>
              <w:jc w:val="center"/>
              <w:rPr>
                <w:b/>
                <w:sz w:val="18"/>
                <w:szCs w:val="18"/>
              </w:rPr>
            </w:pPr>
            <w:r w:rsidRPr="0048391A">
              <w:rPr>
                <w:b/>
                <w:sz w:val="18"/>
                <w:szCs w:val="18"/>
              </w:rPr>
              <w:t>Num Obs</w:t>
            </w:r>
          </w:p>
        </w:tc>
        <w:tc>
          <w:tcPr>
            <w:tcW w:w="1020" w:type="dxa"/>
            <w:tcBorders>
              <w:top w:val="single" w:sz="8" w:space="0" w:color="auto"/>
              <w:left w:val="nil"/>
              <w:bottom w:val="single" w:sz="12" w:space="0" w:color="auto"/>
              <w:right w:val="single" w:sz="4" w:space="0" w:color="auto"/>
            </w:tcBorders>
            <w:shd w:val="pct20" w:color="auto" w:fill="auto"/>
            <w:vAlign w:val="center"/>
          </w:tcPr>
          <w:p w:rsidR="009166AD" w:rsidRPr="0048391A" w:rsidRDefault="009166AD" w:rsidP="00646DE4">
            <w:pPr>
              <w:spacing w:after="0"/>
              <w:jc w:val="center"/>
              <w:rPr>
                <w:b/>
                <w:sz w:val="18"/>
                <w:szCs w:val="18"/>
              </w:rPr>
            </w:pPr>
            <w:r w:rsidRPr="0048391A">
              <w:rPr>
                <w:b/>
                <w:sz w:val="18"/>
                <w:szCs w:val="18"/>
              </w:rPr>
              <w:t>HOU</w:t>
            </w:r>
          </w:p>
        </w:tc>
        <w:tc>
          <w:tcPr>
            <w:tcW w:w="1020" w:type="dxa"/>
            <w:tcBorders>
              <w:top w:val="single" w:sz="8" w:space="0" w:color="auto"/>
              <w:left w:val="nil"/>
              <w:bottom w:val="single" w:sz="12" w:space="0" w:color="auto"/>
              <w:right w:val="single" w:sz="4" w:space="0" w:color="auto"/>
            </w:tcBorders>
            <w:shd w:val="pct20" w:color="auto" w:fill="auto"/>
            <w:vAlign w:val="center"/>
          </w:tcPr>
          <w:p w:rsidR="009166AD" w:rsidRPr="0048391A" w:rsidRDefault="009166AD" w:rsidP="00646DE4">
            <w:pPr>
              <w:spacing w:after="0"/>
              <w:jc w:val="center"/>
              <w:rPr>
                <w:b/>
                <w:sz w:val="18"/>
                <w:szCs w:val="18"/>
              </w:rPr>
            </w:pPr>
            <w:r w:rsidRPr="0048391A">
              <w:rPr>
                <w:b/>
                <w:sz w:val="18"/>
                <w:szCs w:val="18"/>
              </w:rPr>
              <w:t>Num Obs</w:t>
            </w:r>
          </w:p>
        </w:tc>
        <w:tc>
          <w:tcPr>
            <w:tcW w:w="1020" w:type="dxa"/>
            <w:tcBorders>
              <w:top w:val="single" w:sz="8" w:space="0" w:color="auto"/>
              <w:left w:val="nil"/>
              <w:bottom w:val="single" w:sz="12" w:space="0" w:color="auto"/>
              <w:right w:val="single" w:sz="12" w:space="0" w:color="auto"/>
            </w:tcBorders>
            <w:shd w:val="pct20" w:color="auto" w:fill="auto"/>
            <w:vAlign w:val="center"/>
          </w:tcPr>
          <w:p w:rsidR="009166AD" w:rsidRPr="0048391A" w:rsidRDefault="009166AD" w:rsidP="00646DE4">
            <w:pPr>
              <w:spacing w:after="0"/>
              <w:jc w:val="center"/>
              <w:rPr>
                <w:b/>
                <w:sz w:val="18"/>
                <w:szCs w:val="18"/>
              </w:rPr>
            </w:pPr>
            <w:r w:rsidRPr="0048391A">
              <w:rPr>
                <w:b/>
                <w:sz w:val="18"/>
                <w:szCs w:val="18"/>
              </w:rPr>
              <w:t>HOU</w:t>
            </w:r>
          </w:p>
        </w:tc>
      </w:tr>
      <w:tr w:rsidR="009166AD" w:rsidRPr="0048391A" w:rsidTr="00646DE4">
        <w:trPr>
          <w:trHeight w:val="360"/>
        </w:trPr>
        <w:tc>
          <w:tcPr>
            <w:tcW w:w="1180" w:type="dxa"/>
            <w:vMerge w:val="restart"/>
            <w:tcBorders>
              <w:top w:val="single" w:sz="12" w:space="0" w:color="auto"/>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18"/>
                <w:szCs w:val="18"/>
              </w:rPr>
            </w:pPr>
            <w:r w:rsidRPr="0048391A">
              <w:rPr>
                <w:sz w:val="18"/>
                <w:szCs w:val="18"/>
              </w:rPr>
              <w:t>PG&amp;E</w:t>
            </w:r>
          </w:p>
        </w:tc>
        <w:tc>
          <w:tcPr>
            <w:tcW w:w="1160" w:type="dxa"/>
            <w:tcBorders>
              <w:top w:val="single" w:sz="12" w:space="0" w:color="auto"/>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2009</w:t>
            </w:r>
          </w:p>
        </w:tc>
        <w:tc>
          <w:tcPr>
            <w:tcW w:w="1020" w:type="dxa"/>
            <w:tcBorders>
              <w:top w:val="single" w:sz="12" w:space="0" w:color="auto"/>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3,946</w:t>
            </w:r>
          </w:p>
        </w:tc>
        <w:tc>
          <w:tcPr>
            <w:tcW w:w="1020" w:type="dxa"/>
            <w:tcBorders>
              <w:top w:val="single" w:sz="12" w:space="0" w:color="auto"/>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1.60</w:t>
            </w:r>
          </w:p>
        </w:tc>
        <w:tc>
          <w:tcPr>
            <w:tcW w:w="1020" w:type="dxa"/>
            <w:tcBorders>
              <w:top w:val="single" w:sz="12" w:space="0" w:color="auto"/>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3,479</w:t>
            </w:r>
          </w:p>
        </w:tc>
        <w:tc>
          <w:tcPr>
            <w:tcW w:w="1020" w:type="dxa"/>
            <w:tcBorders>
              <w:top w:val="single" w:sz="12" w:space="0" w:color="auto"/>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1.40</w:t>
            </w:r>
          </w:p>
        </w:tc>
        <w:tc>
          <w:tcPr>
            <w:tcW w:w="1020" w:type="dxa"/>
            <w:tcBorders>
              <w:top w:val="single" w:sz="12" w:space="0" w:color="auto"/>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467</w:t>
            </w:r>
          </w:p>
        </w:tc>
        <w:tc>
          <w:tcPr>
            <w:tcW w:w="1020" w:type="dxa"/>
            <w:tcBorders>
              <w:top w:val="single" w:sz="12" w:space="0" w:color="auto"/>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3.32</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18"/>
                <w:szCs w:val="18"/>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2010</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3,946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1.58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3,479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1.38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467</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3.31</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18"/>
                <w:szCs w:val="18"/>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2011</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3,946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1.57</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3,479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1.37</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467</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3.29</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18"/>
                <w:szCs w:val="18"/>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2012</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3,946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1.56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3,479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1.36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467</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3.28</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18"/>
                <w:szCs w:val="18"/>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2013</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3,946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1.54</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3,479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1.35</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467</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3.27</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18"/>
                <w:szCs w:val="18"/>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2014</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3,946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1.53</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3,479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1.34</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467</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3.26</w:t>
            </w:r>
          </w:p>
        </w:tc>
      </w:tr>
      <w:tr w:rsidR="009166AD" w:rsidRPr="0048391A" w:rsidTr="00646DE4">
        <w:trPr>
          <w:trHeight w:val="360"/>
        </w:trPr>
        <w:tc>
          <w:tcPr>
            <w:tcW w:w="1180" w:type="dxa"/>
            <w:vMerge w:val="restart"/>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18"/>
                <w:szCs w:val="18"/>
              </w:rPr>
            </w:pPr>
            <w:r w:rsidRPr="0048391A">
              <w:rPr>
                <w:sz w:val="18"/>
                <w:szCs w:val="18"/>
              </w:rPr>
              <w:t>SCE</w:t>
            </w: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2009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3,519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1.96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3,108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1.76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411</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3.71</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18"/>
                <w:szCs w:val="18"/>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2010</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3,519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1.95</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3,108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1.74</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411</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3.70</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18"/>
                <w:szCs w:val="18"/>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2011</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3,519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1.94</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3,108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1.73</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411</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3.69</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18"/>
                <w:szCs w:val="18"/>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2012</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3,519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1.93</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3,108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1.72</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411</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3.68</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18"/>
                <w:szCs w:val="18"/>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2013</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3,519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1.92</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3,108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1.71</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411</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3.67</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18"/>
                <w:szCs w:val="18"/>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2014</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3,519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1.91</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3,108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1.70</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411</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3.66</w:t>
            </w:r>
          </w:p>
        </w:tc>
      </w:tr>
      <w:tr w:rsidR="009166AD" w:rsidRPr="0048391A" w:rsidTr="00646DE4">
        <w:trPr>
          <w:trHeight w:val="360"/>
        </w:trPr>
        <w:tc>
          <w:tcPr>
            <w:tcW w:w="1180" w:type="dxa"/>
            <w:vMerge w:val="restart"/>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18"/>
                <w:szCs w:val="18"/>
              </w:rPr>
            </w:pPr>
            <w:r w:rsidRPr="0048391A">
              <w:rPr>
                <w:sz w:val="18"/>
                <w:szCs w:val="18"/>
              </w:rPr>
              <w:t>SDG&amp;E</w:t>
            </w: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2009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1,679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1.39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1,456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1.18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223</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3.11</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646DE4">
            <w:pPr>
              <w:spacing w:after="0"/>
              <w:rPr>
                <w:sz w:val="18"/>
                <w:szCs w:val="18"/>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2010</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1,679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1.38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1,456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1.17</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223</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3.10</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646DE4">
            <w:pPr>
              <w:spacing w:after="0"/>
              <w:rPr>
                <w:sz w:val="18"/>
                <w:szCs w:val="18"/>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2011</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1,679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1.37</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1,456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1.16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223</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3.10</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646DE4">
            <w:pPr>
              <w:spacing w:after="0"/>
              <w:rPr>
                <w:sz w:val="18"/>
                <w:szCs w:val="18"/>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2012</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1,679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1.37</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1,456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1.16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223</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3.09</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646DE4">
            <w:pPr>
              <w:spacing w:after="0"/>
              <w:rPr>
                <w:sz w:val="18"/>
                <w:szCs w:val="18"/>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2013</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1,679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1.36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1,456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1.15</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223</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3.08</w:t>
            </w:r>
          </w:p>
        </w:tc>
      </w:tr>
      <w:tr w:rsidR="009166AD" w:rsidRPr="0048391A" w:rsidTr="00646DE4">
        <w:trPr>
          <w:trHeight w:val="360"/>
        </w:trPr>
        <w:tc>
          <w:tcPr>
            <w:tcW w:w="1180" w:type="dxa"/>
            <w:vMerge/>
            <w:tcBorders>
              <w:top w:val="nil"/>
              <w:left w:val="single" w:sz="12" w:space="0" w:color="auto"/>
              <w:bottom w:val="single" w:sz="12" w:space="0" w:color="auto"/>
              <w:right w:val="single" w:sz="4" w:space="0" w:color="auto"/>
            </w:tcBorders>
            <w:vAlign w:val="center"/>
          </w:tcPr>
          <w:p w:rsidR="009166AD" w:rsidRPr="0048391A" w:rsidRDefault="009166AD" w:rsidP="00646DE4">
            <w:pPr>
              <w:spacing w:after="0"/>
              <w:rPr>
                <w:sz w:val="18"/>
                <w:szCs w:val="18"/>
              </w:rPr>
            </w:pPr>
          </w:p>
        </w:tc>
        <w:tc>
          <w:tcPr>
            <w:tcW w:w="1160" w:type="dxa"/>
            <w:tcBorders>
              <w:top w:val="nil"/>
              <w:left w:val="nil"/>
              <w:bottom w:val="single" w:sz="12"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2014</w:t>
            </w:r>
          </w:p>
        </w:tc>
        <w:tc>
          <w:tcPr>
            <w:tcW w:w="1020" w:type="dxa"/>
            <w:tcBorders>
              <w:top w:val="nil"/>
              <w:left w:val="nil"/>
              <w:bottom w:val="single" w:sz="12"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1,679</w:t>
            </w:r>
          </w:p>
        </w:tc>
        <w:tc>
          <w:tcPr>
            <w:tcW w:w="1020" w:type="dxa"/>
            <w:tcBorders>
              <w:top w:val="nil"/>
              <w:left w:val="nil"/>
              <w:bottom w:val="single" w:sz="12"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1.35</w:t>
            </w:r>
          </w:p>
        </w:tc>
        <w:tc>
          <w:tcPr>
            <w:tcW w:w="1020" w:type="dxa"/>
            <w:tcBorders>
              <w:top w:val="nil"/>
              <w:left w:val="nil"/>
              <w:bottom w:val="single" w:sz="12"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1,456</w:t>
            </w:r>
          </w:p>
        </w:tc>
        <w:tc>
          <w:tcPr>
            <w:tcW w:w="1020" w:type="dxa"/>
            <w:tcBorders>
              <w:top w:val="nil"/>
              <w:left w:val="nil"/>
              <w:bottom w:val="single" w:sz="12"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1.14</w:t>
            </w:r>
          </w:p>
        </w:tc>
        <w:tc>
          <w:tcPr>
            <w:tcW w:w="1020" w:type="dxa"/>
            <w:tcBorders>
              <w:top w:val="nil"/>
              <w:left w:val="nil"/>
              <w:bottom w:val="single" w:sz="12" w:space="0" w:color="auto"/>
              <w:right w:val="single" w:sz="4" w:space="0" w:color="auto"/>
            </w:tcBorders>
            <w:vAlign w:val="center"/>
          </w:tcPr>
          <w:p w:rsidR="009166AD" w:rsidRPr="0048391A" w:rsidRDefault="009166AD" w:rsidP="00646DE4">
            <w:pPr>
              <w:spacing w:after="0"/>
              <w:jc w:val="center"/>
              <w:rPr>
                <w:sz w:val="18"/>
                <w:szCs w:val="18"/>
              </w:rPr>
            </w:pPr>
            <w:r w:rsidRPr="0048391A">
              <w:rPr>
                <w:sz w:val="18"/>
                <w:szCs w:val="18"/>
              </w:rPr>
              <w:t>223</w:t>
            </w:r>
          </w:p>
        </w:tc>
        <w:tc>
          <w:tcPr>
            <w:tcW w:w="1020" w:type="dxa"/>
            <w:tcBorders>
              <w:top w:val="nil"/>
              <w:left w:val="nil"/>
              <w:bottom w:val="single" w:sz="12" w:space="0" w:color="auto"/>
              <w:right w:val="single" w:sz="12" w:space="0" w:color="auto"/>
            </w:tcBorders>
            <w:vAlign w:val="center"/>
          </w:tcPr>
          <w:p w:rsidR="009166AD" w:rsidRPr="0048391A" w:rsidRDefault="009166AD" w:rsidP="00646DE4">
            <w:pPr>
              <w:spacing w:after="0"/>
              <w:jc w:val="center"/>
              <w:rPr>
                <w:sz w:val="18"/>
                <w:szCs w:val="18"/>
              </w:rPr>
            </w:pPr>
            <w:r w:rsidRPr="0048391A">
              <w:rPr>
                <w:sz w:val="18"/>
                <w:szCs w:val="18"/>
              </w:rPr>
              <w:t>3.08</w:t>
            </w:r>
          </w:p>
        </w:tc>
      </w:tr>
    </w:tbl>
    <w:p w:rsidR="009166AD" w:rsidRDefault="009166AD" w:rsidP="009166AD"/>
    <w:p w:rsidR="009166AD" w:rsidRDefault="009166AD" w:rsidP="009166AD">
      <w:pPr>
        <w:spacing w:after="130"/>
        <w:ind w:left="720" w:hanging="432"/>
      </w:pPr>
      <w:r>
        <w:br w:type="page"/>
      </w:r>
    </w:p>
    <w:p w:rsidR="009166AD" w:rsidRDefault="009166AD" w:rsidP="009166AD">
      <w:pPr>
        <w:pStyle w:val="Caption"/>
      </w:pPr>
      <w:bookmarkStart w:id="9" w:name="_Ref307563543"/>
      <w:r>
        <w:lastRenderedPageBreak/>
        <w:t xml:space="preserve">Table </w:t>
      </w:r>
      <w:fldSimple w:instr=" STYLEREF 1 \s ">
        <w:r>
          <w:rPr>
            <w:noProof/>
          </w:rPr>
          <w:t>3</w:t>
        </w:r>
      </w:fldSimple>
      <w:r>
        <w:noBreakHyphen/>
      </w:r>
      <w:fldSimple w:instr=" SEQ Table \* ARABIC \s 1 ">
        <w:r>
          <w:rPr>
            <w:noProof/>
          </w:rPr>
          <w:t>7</w:t>
        </w:r>
      </w:fldSimple>
      <w:bookmarkEnd w:id="9"/>
      <w:r>
        <w:t>: Projected CFL Hours-of-Use by IOU and Space Type for Scenario “Half”</w:t>
      </w:r>
    </w:p>
    <w:tbl>
      <w:tblPr>
        <w:tblW w:w="8460" w:type="dxa"/>
        <w:tblLook w:val="00A0"/>
      </w:tblPr>
      <w:tblGrid>
        <w:gridCol w:w="1180"/>
        <w:gridCol w:w="1160"/>
        <w:gridCol w:w="1020"/>
        <w:gridCol w:w="1020"/>
        <w:gridCol w:w="1020"/>
        <w:gridCol w:w="1020"/>
        <w:gridCol w:w="1020"/>
        <w:gridCol w:w="1020"/>
      </w:tblGrid>
      <w:tr w:rsidR="009166AD" w:rsidRPr="0048391A" w:rsidTr="00646DE4">
        <w:trPr>
          <w:trHeight w:val="300"/>
        </w:trPr>
        <w:tc>
          <w:tcPr>
            <w:tcW w:w="2340" w:type="dxa"/>
            <w:gridSpan w:val="2"/>
            <w:vMerge w:val="restart"/>
            <w:tcBorders>
              <w:top w:val="single" w:sz="12" w:space="0" w:color="auto"/>
              <w:left w:val="single" w:sz="12" w:space="0" w:color="auto"/>
              <w:bottom w:val="single" w:sz="4" w:space="0" w:color="auto"/>
              <w:right w:val="single" w:sz="4" w:space="0" w:color="auto"/>
            </w:tcBorders>
            <w:shd w:val="pct20" w:color="auto" w:fill="auto"/>
            <w:vAlign w:val="center"/>
          </w:tcPr>
          <w:p w:rsidR="009166AD" w:rsidRPr="0048391A" w:rsidRDefault="009166AD" w:rsidP="00646DE4">
            <w:pPr>
              <w:spacing w:after="0"/>
              <w:jc w:val="center"/>
              <w:rPr>
                <w:b/>
                <w:sz w:val="20"/>
                <w:szCs w:val="20"/>
              </w:rPr>
            </w:pPr>
          </w:p>
        </w:tc>
        <w:tc>
          <w:tcPr>
            <w:tcW w:w="6120" w:type="dxa"/>
            <w:gridSpan w:val="6"/>
            <w:tcBorders>
              <w:top w:val="single" w:sz="12" w:space="0" w:color="auto"/>
              <w:left w:val="nil"/>
              <w:bottom w:val="single" w:sz="4" w:space="0" w:color="auto"/>
              <w:right w:val="single" w:sz="12" w:space="0" w:color="auto"/>
            </w:tcBorders>
            <w:shd w:val="pct20" w:color="auto" w:fill="auto"/>
            <w:noWrap/>
            <w:vAlign w:val="center"/>
          </w:tcPr>
          <w:p w:rsidR="009166AD" w:rsidRPr="0048391A" w:rsidRDefault="009166AD" w:rsidP="00646DE4">
            <w:pPr>
              <w:spacing w:after="0"/>
              <w:jc w:val="center"/>
              <w:rPr>
                <w:b/>
                <w:sz w:val="20"/>
                <w:szCs w:val="20"/>
              </w:rPr>
            </w:pPr>
            <w:r w:rsidRPr="0048391A">
              <w:rPr>
                <w:b/>
                <w:sz w:val="20"/>
                <w:szCs w:val="20"/>
              </w:rPr>
              <w:t>Space Type</w:t>
            </w:r>
          </w:p>
        </w:tc>
      </w:tr>
      <w:tr w:rsidR="009166AD" w:rsidRPr="0048391A" w:rsidTr="00646DE4">
        <w:trPr>
          <w:trHeight w:val="360"/>
        </w:trPr>
        <w:tc>
          <w:tcPr>
            <w:tcW w:w="2340" w:type="dxa"/>
            <w:gridSpan w:val="2"/>
            <w:vMerge/>
            <w:tcBorders>
              <w:top w:val="single" w:sz="4" w:space="0" w:color="auto"/>
              <w:left w:val="single" w:sz="12" w:space="0" w:color="auto"/>
              <w:bottom w:val="single" w:sz="4" w:space="0" w:color="auto"/>
              <w:right w:val="single" w:sz="4" w:space="0" w:color="auto"/>
            </w:tcBorders>
            <w:shd w:val="pct20" w:color="auto" w:fill="auto"/>
            <w:vAlign w:val="center"/>
          </w:tcPr>
          <w:p w:rsidR="009166AD" w:rsidRPr="0048391A" w:rsidRDefault="009166AD" w:rsidP="00646DE4">
            <w:pPr>
              <w:spacing w:after="0"/>
              <w:jc w:val="center"/>
              <w:rPr>
                <w:b/>
                <w:sz w:val="20"/>
                <w:szCs w:val="20"/>
              </w:rPr>
            </w:pPr>
          </w:p>
        </w:tc>
        <w:tc>
          <w:tcPr>
            <w:tcW w:w="2040" w:type="dxa"/>
            <w:gridSpan w:val="2"/>
            <w:tcBorders>
              <w:top w:val="single" w:sz="4" w:space="0" w:color="auto"/>
              <w:left w:val="nil"/>
              <w:bottom w:val="single" w:sz="4" w:space="0" w:color="auto"/>
              <w:right w:val="single" w:sz="4" w:space="0" w:color="auto"/>
            </w:tcBorders>
            <w:shd w:val="pct20" w:color="auto" w:fill="auto"/>
            <w:vAlign w:val="center"/>
          </w:tcPr>
          <w:p w:rsidR="009166AD" w:rsidRPr="0048391A" w:rsidRDefault="009166AD" w:rsidP="00646DE4">
            <w:pPr>
              <w:spacing w:after="0"/>
              <w:jc w:val="center"/>
              <w:rPr>
                <w:b/>
                <w:sz w:val="20"/>
                <w:szCs w:val="20"/>
              </w:rPr>
            </w:pPr>
            <w:r w:rsidRPr="0048391A">
              <w:rPr>
                <w:b/>
                <w:sz w:val="20"/>
                <w:szCs w:val="20"/>
              </w:rPr>
              <w:t>Overall</w:t>
            </w:r>
          </w:p>
        </w:tc>
        <w:tc>
          <w:tcPr>
            <w:tcW w:w="2040" w:type="dxa"/>
            <w:gridSpan w:val="2"/>
            <w:tcBorders>
              <w:top w:val="single" w:sz="4" w:space="0" w:color="auto"/>
              <w:left w:val="nil"/>
              <w:bottom w:val="single" w:sz="4" w:space="0" w:color="auto"/>
              <w:right w:val="single" w:sz="4" w:space="0" w:color="auto"/>
            </w:tcBorders>
            <w:shd w:val="pct20" w:color="auto" w:fill="auto"/>
            <w:vAlign w:val="center"/>
          </w:tcPr>
          <w:p w:rsidR="009166AD" w:rsidRPr="0048391A" w:rsidRDefault="009166AD" w:rsidP="00646DE4">
            <w:pPr>
              <w:spacing w:after="0"/>
              <w:jc w:val="center"/>
              <w:rPr>
                <w:b/>
                <w:sz w:val="20"/>
                <w:szCs w:val="20"/>
              </w:rPr>
            </w:pPr>
            <w:r w:rsidRPr="0048391A">
              <w:rPr>
                <w:b/>
                <w:sz w:val="20"/>
                <w:szCs w:val="20"/>
              </w:rPr>
              <w:t>Interior</w:t>
            </w:r>
          </w:p>
        </w:tc>
        <w:tc>
          <w:tcPr>
            <w:tcW w:w="2040" w:type="dxa"/>
            <w:gridSpan w:val="2"/>
            <w:tcBorders>
              <w:top w:val="single" w:sz="4" w:space="0" w:color="auto"/>
              <w:left w:val="nil"/>
              <w:bottom w:val="single" w:sz="4" w:space="0" w:color="auto"/>
              <w:right w:val="single" w:sz="12" w:space="0" w:color="auto"/>
            </w:tcBorders>
            <w:shd w:val="pct20" w:color="auto" w:fill="auto"/>
            <w:vAlign w:val="center"/>
          </w:tcPr>
          <w:p w:rsidR="009166AD" w:rsidRPr="0048391A" w:rsidRDefault="009166AD" w:rsidP="00646DE4">
            <w:pPr>
              <w:spacing w:after="0"/>
              <w:jc w:val="center"/>
              <w:rPr>
                <w:b/>
                <w:sz w:val="20"/>
                <w:szCs w:val="20"/>
              </w:rPr>
            </w:pPr>
            <w:r w:rsidRPr="0048391A">
              <w:rPr>
                <w:b/>
                <w:sz w:val="20"/>
                <w:szCs w:val="20"/>
              </w:rPr>
              <w:t>Exterior</w:t>
            </w:r>
          </w:p>
        </w:tc>
      </w:tr>
      <w:tr w:rsidR="009166AD" w:rsidRPr="0048391A" w:rsidTr="00646DE4">
        <w:trPr>
          <w:trHeight w:val="360"/>
        </w:trPr>
        <w:tc>
          <w:tcPr>
            <w:tcW w:w="1180" w:type="dxa"/>
            <w:tcBorders>
              <w:top w:val="nil"/>
              <w:left w:val="single" w:sz="12" w:space="0" w:color="auto"/>
              <w:bottom w:val="single" w:sz="4" w:space="0" w:color="auto"/>
              <w:right w:val="single" w:sz="4" w:space="0" w:color="auto"/>
            </w:tcBorders>
            <w:shd w:val="pct20" w:color="auto" w:fill="auto"/>
            <w:vAlign w:val="center"/>
          </w:tcPr>
          <w:p w:rsidR="009166AD" w:rsidRPr="0048391A" w:rsidRDefault="009166AD" w:rsidP="005D7688">
            <w:pPr>
              <w:spacing w:after="0"/>
              <w:jc w:val="center"/>
              <w:rPr>
                <w:b/>
                <w:sz w:val="20"/>
                <w:szCs w:val="20"/>
              </w:rPr>
            </w:pPr>
            <w:r w:rsidRPr="0048391A">
              <w:rPr>
                <w:b/>
                <w:sz w:val="20"/>
                <w:szCs w:val="20"/>
              </w:rPr>
              <w:t>IOU</w:t>
            </w:r>
          </w:p>
        </w:tc>
        <w:tc>
          <w:tcPr>
            <w:tcW w:w="1160" w:type="dxa"/>
            <w:tcBorders>
              <w:top w:val="nil"/>
              <w:left w:val="nil"/>
              <w:bottom w:val="single" w:sz="4" w:space="0" w:color="auto"/>
              <w:right w:val="single" w:sz="4" w:space="0" w:color="auto"/>
            </w:tcBorders>
            <w:shd w:val="pct20" w:color="auto" w:fill="auto"/>
            <w:vAlign w:val="center"/>
          </w:tcPr>
          <w:p w:rsidR="009166AD" w:rsidRPr="0048391A" w:rsidRDefault="009166AD" w:rsidP="00646DE4">
            <w:pPr>
              <w:spacing w:after="0"/>
              <w:jc w:val="center"/>
              <w:rPr>
                <w:b/>
                <w:sz w:val="20"/>
                <w:szCs w:val="20"/>
              </w:rPr>
            </w:pPr>
            <w:r w:rsidRPr="0048391A">
              <w:rPr>
                <w:b/>
                <w:sz w:val="20"/>
                <w:szCs w:val="20"/>
              </w:rPr>
              <w:t>Year</w:t>
            </w:r>
          </w:p>
        </w:tc>
        <w:tc>
          <w:tcPr>
            <w:tcW w:w="1020" w:type="dxa"/>
            <w:tcBorders>
              <w:top w:val="nil"/>
              <w:left w:val="nil"/>
              <w:bottom w:val="single" w:sz="4" w:space="0" w:color="auto"/>
              <w:right w:val="single" w:sz="4" w:space="0" w:color="auto"/>
            </w:tcBorders>
            <w:shd w:val="pct20" w:color="auto" w:fill="auto"/>
            <w:vAlign w:val="center"/>
          </w:tcPr>
          <w:p w:rsidR="009166AD" w:rsidRPr="0048391A" w:rsidRDefault="009166AD" w:rsidP="00646DE4">
            <w:pPr>
              <w:spacing w:after="0"/>
              <w:jc w:val="center"/>
              <w:rPr>
                <w:b/>
                <w:sz w:val="20"/>
                <w:szCs w:val="20"/>
              </w:rPr>
            </w:pPr>
            <w:r w:rsidRPr="0048391A">
              <w:rPr>
                <w:b/>
                <w:sz w:val="20"/>
                <w:szCs w:val="20"/>
              </w:rPr>
              <w:t>Num Obs</w:t>
            </w:r>
          </w:p>
        </w:tc>
        <w:tc>
          <w:tcPr>
            <w:tcW w:w="1020" w:type="dxa"/>
            <w:tcBorders>
              <w:top w:val="nil"/>
              <w:left w:val="nil"/>
              <w:bottom w:val="single" w:sz="4" w:space="0" w:color="auto"/>
              <w:right w:val="single" w:sz="4" w:space="0" w:color="auto"/>
            </w:tcBorders>
            <w:shd w:val="pct20" w:color="auto" w:fill="auto"/>
            <w:vAlign w:val="center"/>
          </w:tcPr>
          <w:p w:rsidR="009166AD" w:rsidRPr="0048391A" w:rsidRDefault="009166AD" w:rsidP="00646DE4">
            <w:pPr>
              <w:spacing w:after="0"/>
              <w:jc w:val="center"/>
              <w:rPr>
                <w:b/>
                <w:sz w:val="20"/>
                <w:szCs w:val="20"/>
              </w:rPr>
            </w:pPr>
            <w:r w:rsidRPr="0048391A">
              <w:rPr>
                <w:b/>
                <w:sz w:val="20"/>
                <w:szCs w:val="20"/>
              </w:rPr>
              <w:t>HOU</w:t>
            </w:r>
          </w:p>
        </w:tc>
        <w:tc>
          <w:tcPr>
            <w:tcW w:w="1020" w:type="dxa"/>
            <w:tcBorders>
              <w:top w:val="nil"/>
              <w:left w:val="nil"/>
              <w:bottom w:val="single" w:sz="4" w:space="0" w:color="auto"/>
              <w:right w:val="single" w:sz="4" w:space="0" w:color="auto"/>
            </w:tcBorders>
            <w:shd w:val="pct20" w:color="auto" w:fill="auto"/>
            <w:vAlign w:val="center"/>
          </w:tcPr>
          <w:p w:rsidR="009166AD" w:rsidRPr="0048391A" w:rsidRDefault="009166AD" w:rsidP="00646DE4">
            <w:pPr>
              <w:spacing w:after="0"/>
              <w:jc w:val="center"/>
              <w:rPr>
                <w:b/>
                <w:sz w:val="20"/>
                <w:szCs w:val="20"/>
              </w:rPr>
            </w:pPr>
            <w:r w:rsidRPr="0048391A">
              <w:rPr>
                <w:b/>
                <w:sz w:val="20"/>
                <w:szCs w:val="20"/>
              </w:rPr>
              <w:t>Num Obs</w:t>
            </w:r>
          </w:p>
        </w:tc>
        <w:tc>
          <w:tcPr>
            <w:tcW w:w="1020" w:type="dxa"/>
            <w:tcBorders>
              <w:top w:val="nil"/>
              <w:left w:val="nil"/>
              <w:bottom w:val="single" w:sz="4" w:space="0" w:color="auto"/>
              <w:right w:val="single" w:sz="4" w:space="0" w:color="auto"/>
            </w:tcBorders>
            <w:shd w:val="pct20" w:color="auto" w:fill="auto"/>
            <w:vAlign w:val="center"/>
          </w:tcPr>
          <w:p w:rsidR="009166AD" w:rsidRPr="0048391A" w:rsidRDefault="009166AD" w:rsidP="00646DE4">
            <w:pPr>
              <w:spacing w:after="0"/>
              <w:jc w:val="center"/>
              <w:rPr>
                <w:b/>
                <w:sz w:val="20"/>
                <w:szCs w:val="20"/>
              </w:rPr>
            </w:pPr>
            <w:r w:rsidRPr="0048391A">
              <w:rPr>
                <w:b/>
                <w:sz w:val="20"/>
                <w:szCs w:val="20"/>
              </w:rPr>
              <w:t>HOU</w:t>
            </w:r>
          </w:p>
        </w:tc>
        <w:tc>
          <w:tcPr>
            <w:tcW w:w="1020" w:type="dxa"/>
            <w:tcBorders>
              <w:top w:val="nil"/>
              <w:left w:val="nil"/>
              <w:bottom w:val="single" w:sz="4" w:space="0" w:color="auto"/>
              <w:right w:val="single" w:sz="4" w:space="0" w:color="auto"/>
            </w:tcBorders>
            <w:shd w:val="pct20" w:color="auto" w:fill="auto"/>
            <w:vAlign w:val="center"/>
          </w:tcPr>
          <w:p w:rsidR="009166AD" w:rsidRPr="0048391A" w:rsidRDefault="009166AD" w:rsidP="00646DE4">
            <w:pPr>
              <w:spacing w:after="0"/>
              <w:jc w:val="center"/>
              <w:rPr>
                <w:b/>
                <w:sz w:val="20"/>
                <w:szCs w:val="20"/>
              </w:rPr>
            </w:pPr>
            <w:r w:rsidRPr="0048391A">
              <w:rPr>
                <w:b/>
                <w:sz w:val="20"/>
                <w:szCs w:val="20"/>
              </w:rPr>
              <w:t>Num Obs</w:t>
            </w:r>
          </w:p>
        </w:tc>
        <w:tc>
          <w:tcPr>
            <w:tcW w:w="1020" w:type="dxa"/>
            <w:tcBorders>
              <w:top w:val="nil"/>
              <w:left w:val="nil"/>
              <w:bottom w:val="single" w:sz="4" w:space="0" w:color="auto"/>
              <w:right w:val="single" w:sz="12" w:space="0" w:color="auto"/>
            </w:tcBorders>
            <w:shd w:val="pct20" w:color="auto" w:fill="auto"/>
            <w:vAlign w:val="center"/>
          </w:tcPr>
          <w:p w:rsidR="009166AD" w:rsidRPr="0048391A" w:rsidRDefault="009166AD" w:rsidP="00646DE4">
            <w:pPr>
              <w:spacing w:after="0"/>
              <w:jc w:val="center"/>
              <w:rPr>
                <w:b/>
                <w:sz w:val="20"/>
                <w:szCs w:val="20"/>
              </w:rPr>
            </w:pPr>
            <w:r w:rsidRPr="0048391A">
              <w:rPr>
                <w:b/>
                <w:sz w:val="20"/>
                <w:szCs w:val="20"/>
              </w:rPr>
              <w:t>HOU</w:t>
            </w:r>
          </w:p>
        </w:tc>
      </w:tr>
      <w:tr w:rsidR="009166AD" w:rsidRPr="0048391A" w:rsidTr="00646DE4">
        <w:trPr>
          <w:trHeight w:val="360"/>
        </w:trPr>
        <w:tc>
          <w:tcPr>
            <w:tcW w:w="1180" w:type="dxa"/>
            <w:vMerge w:val="restart"/>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20"/>
                <w:szCs w:val="20"/>
              </w:rPr>
            </w:pPr>
            <w:r w:rsidRPr="0048391A">
              <w:rPr>
                <w:sz w:val="20"/>
                <w:szCs w:val="20"/>
              </w:rPr>
              <w:t>PG&amp;E</w:t>
            </w: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2009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3,946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1.60</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3,479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1.40</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467</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20"/>
                <w:szCs w:val="20"/>
              </w:rPr>
            </w:pPr>
            <w:r w:rsidRPr="0048391A">
              <w:rPr>
                <w:sz w:val="20"/>
                <w:szCs w:val="20"/>
              </w:rPr>
              <w:t>3.32</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20"/>
                <w:szCs w:val="20"/>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2010</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3,946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1.58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3,479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1.38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467</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20"/>
                <w:szCs w:val="20"/>
              </w:rPr>
            </w:pPr>
            <w:r w:rsidRPr="0048391A">
              <w:rPr>
                <w:sz w:val="20"/>
                <w:szCs w:val="20"/>
              </w:rPr>
              <w:t>3.31</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20"/>
                <w:szCs w:val="20"/>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2011</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3,946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1.57</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3,479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1.37</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467</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20"/>
                <w:szCs w:val="20"/>
              </w:rPr>
            </w:pPr>
            <w:r w:rsidRPr="0048391A">
              <w:rPr>
                <w:sz w:val="20"/>
                <w:szCs w:val="20"/>
              </w:rPr>
              <w:t>3.29</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20"/>
                <w:szCs w:val="20"/>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2012</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3,946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1.56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3,479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1.36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467</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20"/>
                <w:szCs w:val="20"/>
              </w:rPr>
            </w:pPr>
            <w:r w:rsidRPr="0048391A">
              <w:rPr>
                <w:sz w:val="20"/>
                <w:szCs w:val="20"/>
              </w:rPr>
              <w:t>3.29</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20"/>
                <w:szCs w:val="20"/>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2013</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3,946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1.55</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3,479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1.35</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467</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20"/>
                <w:szCs w:val="20"/>
              </w:rPr>
            </w:pPr>
            <w:r w:rsidRPr="0048391A">
              <w:rPr>
                <w:sz w:val="20"/>
                <w:szCs w:val="20"/>
              </w:rPr>
              <w:t>3.28</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20"/>
                <w:szCs w:val="20"/>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2014</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3,946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1.54</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3,479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1.34</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467</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20"/>
                <w:szCs w:val="20"/>
              </w:rPr>
            </w:pPr>
            <w:r w:rsidRPr="0048391A">
              <w:rPr>
                <w:sz w:val="20"/>
                <w:szCs w:val="20"/>
              </w:rPr>
              <w:t>3.27</w:t>
            </w:r>
          </w:p>
        </w:tc>
      </w:tr>
      <w:tr w:rsidR="009166AD" w:rsidRPr="0048391A" w:rsidTr="00646DE4">
        <w:trPr>
          <w:trHeight w:val="360"/>
        </w:trPr>
        <w:tc>
          <w:tcPr>
            <w:tcW w:w="1180" w:type="dxa"/>
            <w:vMerge w:val="restart"/>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20"/>
                <w:szCs w:val="20"/>
              </w:rPr>
            </w:pPr>
            <w:r w:rsidRPr="0048391A">
              <w:rPr>
                <w:sz w:val="20"/>
                <w:szCs w:val="20"/>
              </w:rPr>
              <w:t>SCE</w:t>
            </w: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2009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3,519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1.96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3,108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1.76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411</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20"/>
                <w:szCs w:val="20"/>
              </w:rPr>
            </w:pPr>
            <w:r w:rsidRPr="0048391A">
              <w:rPr>
                <w:sz w:val="20"/>
                <w:szCs w:val="20"/>
              </w:rPr>
              <w:t>3.71</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20"/>
                <w:szCs w:val="20"/>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2010</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3,519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1.95</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3,108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1.74</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411</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20"/>
                <w:szCs w:val="20"/>
              </w:rPr>
            </w:pPr>
            <w:r w:rsidRPr="0048391A">
              <w:rPr>
                <w:sz w:val="20"/>
                <w:szCs w:val="20"/>
              </w:rPr>
              <w:t>3.70</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20"/>
                <w:szCs w:val="20"/>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2011</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3,519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1.94</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3,108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1.73</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411</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20"/>
                <w:szCs w:val="20"/>
              </w:rPr>
            </w:pPr>
            <w:r w:rsidRPr="0048391A">
              <w:rPr>
                <w:sz w:val="20"/>
                <w:szCs w:val="20"/>
              </w:rPr>
              <w:t>3.69</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20"/>
                <w:szCs w:val="20"/>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2012</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3,519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1.93</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3,108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1.73</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411</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20"/>
                <w:szCs w:val="20"/>
              </w:rPr>
            </w:pPr>
            <w:r w:rsidRPr="0048391A">
              <w:rPr>
                <w:sz w:val="20"/>
                <w:szCs w:val="20"/>
              </w:rPr>
              <w:t>3.68</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20"/>
                <w:szCs w:val="20"/>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2013</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3,519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1.93</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3,108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1.72</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411</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20"/>
                <w:szCs w:val="20"/>
              </w:rPr>
            </w:pPr>
            <w:r w:rsidRPr="0048391A">
              <w:rPr>
                <w:sz w:val="20"/>
                <w:szCs w:val="20"/>
              </w:rPr>
              <w:t>3.68</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20"/>
                <w:szCs w:val="20"/>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2014</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3,519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1.92</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3,108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1.72</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411</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20"/>
                <w:szCs w:val="20"/>
              </w:rPr>
            </w:pPr>
            <w:r w:rsidRPr="0048391A">
              <w:rPr>
                <w:sz w:val="20"/>
                <w:szCs w:val="20"/>
              </w:rPr>
              <w:t>3.67</w:t>
            </w:r>
          </w:p>
        </w:tc>
      </w:tr>
      <w:tr w:rsidR="009166AD" w:rsidRPr="0048391A" w:rsidTr="00646DE4">
        <w:trPr>
          <w:trHeight w:val="360"/>
        </w:trPr>
        <w:tc>
          <w:tcPr>
            <w:tcW w:w="1180" w:type="dxa"/>
            <w:vMerge w:val="restart"/>
            <w:tcBorders>
              <w:top w:val="nil"/>
              <w:left w:val="single" w:sz="12" w:space="0" w:color="auto"/>
              <w:bottom w:val="single" w:sz="4" w:space="0" w:color="auto"/>
              <w:right w:val="single" w:sz="4" w:space="0" w:color="auto"/>
            </w:tcBorders>
            <w:vAlign w:val="center"/>
          </w:tcPr>
          <w:p w:rsidR="009166AD" w:rsidRPr="0048391A" w:rsidRDefault="009166AD" w:rsidP="005D7688">
            <w:pPr>
              <w:spacing w:after="0"/>
              <w:jc w:val="center"/>
              <w:rPr>
                <w:sz w:val="20"/>
                <w:szCs w:val="20"/>
              </w:rPr>
            </w:pPr>
            <w:r w:rsidRPr="0048391A">
              <w:rPr>
                <w:sz w:val="20"/>
                <w:szCs w:val="20"/>
              </w:rPr>
              <w:t>SDG&amp;E</w:t>
            </w: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2009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1,679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1.39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1,456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1.18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223</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20"/>
                <w:szCs w:val="20"/>
              </w:rPr>
            </w:pPr>
            <w:r w:rsidRPr="0048391A">
              <w:rPr>
                <w:sz w:val="20"/>
                <w:szCs w:val="20"/>
              </w:rPr>
              <w:t>3.11</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646DE4">
            <w:pPr>
              <w:spacing w:after="0"/>
              <w:rPr>
                <w:sz w:val="20"/>
                <w:szCs w:val="20"/>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2010</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1,679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1.38</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1,456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1.17</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223</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20"/>
                <w:szCs w:val="20"/>
              </w:rPr>
            </w:pPr>
            <w:r w:rsidRPr="0048391A">
              <w:rPr>
                <w:sz w:val="20"/>
                <w:szCs w:val="20"/>
              </w:rPr>
              <w:t>3.10</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646DE4">
            <w:pPr>
              <w:spacing w:after="0"/>
              <w:rPr>
                <w:sz w:val="20"/>
                <w:szCs w:val="20"/>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2011</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1,679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1.37</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1,456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1.16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223</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20"/>
                <w:szCs w:val="20"/>
              </w:rPr>
            </w:pPr>
            <w:r w:rsidRPr="0048391A">
              <w:rPr>
                <w:sz w:val="20"/>
                <w:szCs w:val="20"/>
              </w:rPr>
              <w:t>3.10</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646DE4">
            <w:pPr>
              <w:spacing w:after="0"/>
              <w:rPr>
                <w:sz w:val="20"/>
                <w:szCs w:val="20"/>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2012</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1,679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1.37</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1,456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1.16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223</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20"/>
                <w:szCs w:val="20"/>
              </w:rPr>
            </w:pPr>
            <w:r w:rsidRPr="0048391A">
              <w:rPr>
                <w:sz w:val="20"/>
                <w:szCs w:val="20"/>
              </w:rPr>
              <w:t>3.09</w:t>
            </w:r>
          </w:p>
        </w:tc>
      </w:tr>
      <w:tr w:rsidR="009166AD" w:rsidRPr="0048391A" w:rsidTr="00646DE4">
        <w:trPr>
          <w:trHeight w:val="360"/>
        </w:trPr>
        <w:tc>
          <w:tcPr>
            <w:tcW w:w="1180" w:type="dxa"/>
            <w:vMerge/>
            <w:tcBorders>
              <w:top w:val="nil"/>
              <w:left w:val="single" w:sz="12" w:space="0" w:color="auto"/>
              <w:bottom w:val="single" w:sz="4" w:space="0" w:color="auto"/>
              <w:right w:val="single" w:sz="4" w:space="0" w:color="auto"/>
            </w:tcBorders>
            <w:vAlign w:val="center"/>
          </w:tcPr>
          <w:p w:rsidR="009166AD" w:rsidRPr="0048391A" w:rsidRDefault="009166AD" w:rsidP="00646DE4">
            <w:pPr>
              <w:spacing w:after="0"/>
              <w:rPr>
                <w:sz w:val="20"/>
                <w:szCs w:val="20"/>
              </w:rPr>
            </w:pPr>
          </w:p>
        </w:tc>
        <w:tc>
          <w:tcPr>
            <w:tcW w:w="116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2013</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1,679</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1.37</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1,456</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1.15</w:t>
            </w:r>
          </w:p>
        </w:tc>
        <w:tc>
          <w:tcPr>
            <w:tcW w:w="1020" w:type="dxa"/>
            <w:tcBorders>
              <w:top w:val="nil"/>
              <w:left w:val="nil"/>
              <w:bottom w:val="single" w:sz="4"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223</w:t>
            </w:r>
          </w:p>
        </w:tc>
        <w:tc>
          <w:tcPr>
            <w:tcW w:w="1020" w:type="dxa"/>
            <w:tcBorders>
              <w:top w:val="nil"/>
              <w:left w:val="nil"/>
              <w:bottom w:val="single" w:sz="4" w:space="0" w:color="auto"/>
              <w:right w:val="single" w:sz="12" w:space="0" w:color="auto"/>
            </w:tcBorders>
            <w:vAlign w:val="center"/>
          </w:tcPr>
          <w:p w:rsidR="009166AD" w:rsidRPr="0048391A" w:rsidRDefault="009166AD" w:rsidP="00646DE4">
            <w:pPr>
              <w:spacing w:after="0"/>
              <w:jc w:val="center"/>
              <w:rPr>
                <w:sz w:val="20"/>
                <w:szCs w:val="20"/>
              </w:rPr>
            </w:pPr>
            <w:r w:rsidRPr="0048391A">
              <w:rPr>
                <w:sz w:val="20"/>
                <w:szCs w:val="20"/>
              </w:rPr>
              <w:t>3.09</w:t>
            </w:r>
          </w:p>
        </w:tc>
      </w:tr>
      <w:tr w:rsidR="009166AD" w:rsidRPr="0048391A" w:rsidTr="00646DE4">
        <w:trPr>
          <w:trHeight w:val="360"/>
        </w:trPr>
        <w:tc>
          <w:tcPr>
            <w:tcW w:w="1180" w:type="dxa"/>
            <w:vMerge/>
            <w:tcBorders>
              <w:top w:val="nil"/>
              <w:left w:val="single" w:sz="12" w:space="0" w:color="auto"/>
              <w:bottom w:val="single" w:sz="12" w:space="0" w:color="auto"/>
              <w:right w:val="single" w:sz="4" w:space="0" w:color="auto"/>
            </w:tcBorders>
            <w:vAlign w:val="center"/>
          </w:tcPr>
          <w:p w:rsidR="009166AD" w:rsidRPr="0048391A" w:rsidRDefault="009166AD" w:rsidP="00646DE4">
            <w:pPr>
              <w:spacing w:after="0"/>
              <w:rPr>
                <w:sz w:val="20"/>
                <w:szCs w:val="20"/>
              </w:rPr>
            </w:pPr>
          </w:p>
        </w:tc>
        <w:tc>
          <w:tcPr>
            <w:tcW w:w="1160" w:type="dxa"/>
            <w:tcBorders>
              <w:top w:val="nil"/>
              <w:left w:val="nil"/>
              <w:bottom w:val="single" w:sz="12"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2014</w:t>
            </w:r>
          </w:p>
        </w:tc>
        <w:tc>
          <w:tcPr>
            <w:tcW w:w="1020" w:type="dxa"/>
            <w:tcBorders>
              <w:top w:val="nil"/>
              <w:left w:val="nil"/>
              <w:bottom w:val="single" w:sz="12"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1,679</w:t>
            </w:r>
          </w:p>
        </w:tc>
        <w:tc>
          <w:tcPr>
            <w:tcW w:w="1020" w:type="dxa"/>
            <w:tcBorders>
              <w:top w:val="nil"/>
              <w:left w:val="nil"/>
              <w:bottom w:val="single" w:sz="12"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1.36</w:t>
            </w:r>
          </w:p>
        </w:tc>
        <w:tc>
          <w:tcPr>
            <w:tcW w:w="1020" w:type="dxa"/>
            <w:tcBorders>
              <w:top w:val="nil"/>
              <w:left w:val="nil"/>
              <w:bottom w:val="single" w:sz="12"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1,456</w:t>
            </w:r>
          </w:p>
        </w:tc>
        <w:tc>
          <w:tcPr>
            <w:tcW w:w="1020" w:type="dxa"/>
            <w:tcBorders>
              <w:top w:val="nil"/>
              <w:left w:val="nil"/>
              <w:bottom w:val="single" w:sz="12"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1.15</w:t>
            </w:r>
          </w:p>
        </w:tc>
        <w:tc>
          <w:tcPr>
            <w:tcW w:w="1020" w:type="dxa"/>
            <w:tcBorders>
              <w:top w:val="nil"/>
              <w:left w:val="nil"/>
              <w:bottom w:val="single" w:sz="12" w:space="0" w:color="auto"/>
              <w:right w:val="single" w:sz="4" w:space="0" w:color="auto"/>
            </w:tcBorders>
            <w:vAlign w:val="center"/>
          </w:tcPr>
          <w:p w:rsidR="009166AD" w:rsidRPr="0048391A" w:rsidRDefault="009166AD" w:rsidP="00646DE4">
            <w:pPr>
              <w:spacing w:after="0"/>
              <w:jc w:val="center"/>
              <w:rPr>
                <w:sz w:val="20"/>
                <w:szCs w:val="20"/>
              </w:rPr>
            </w:pPr>
            <w:r w:rsidRPr="0048391A">
              <w:rPr>
                <w:sz w:val="20"/>
                <w:szCs w:val="20"/>
              </w:rPr>
              <w:t>223</w:t>
            </w:r>
          </w:p>
        </w:tc>
        <w:tc>
          <w:tcPr>
            <w:tcW w:w="1020" w:type="dxa"/>
            <w:tcBorders>
              <w:top w:val="nil"/>
              <w:left w:val="nil"/>
              <w:bottom w:val="single" w:sz="12" w:space="0" w:color="auto"/>
              <w:right w:val="single" w:sz="12" w:space="0" w:color="auto"/>
            </w:tcBorders>
            <w:vAlign w:val="center"/>
          </w:tcPr>
          <w:p w:rsidR="009166AD" w:rsidRPr="0048391A" w:rsidRDefault="009166AD" w:rsidP="00646DE4">
            <w:pPr>
              <w:spacing w:after="0"/>
              <w:jc w:val="center"/>
              <w:rPr>
                <w:sz w:val="20"/>
                <w:szCs w:val="20"/>
              </w:rPr>
            </w:pPr>
            <w:r w:rsidRPr="0048391A">
              <w:rPr>
                <w:sz w:val="20"/>
                <w:szCs w:val="20"/>
              </w:rPr>
              <w:t>3.09</w:t>
            </w:r>
          </w:p>
        </w:tc>
      </w:tr>
    </w:tbl>
    <w:p w:rsidR="009166AD" w:rsidRDefault="009166AD" w:rsidP="009166AD">
      <w:pPr>
        <w:pStyle w:val="Heading2"/>
        <w:numPr>
          <w:ilvl w:val="1"/>
          <w:numId w:val="1"/>
        </w:numPr>
        <w:jc w:val="both"/>
      </w:pPr>
      <w:r>
        <w:t>Possible Shortcomings of the Study</w:t>
      </w:r>
    </w:p>
    <w:p w:rsidR="009166AD" w:rsidRDefault="009166AD" w:rsidP="009166AD">
      <w:r>
        <w:t>This short-term update to DEER benefits from a number of advances that were not available in earlier studies, including an extensive metering sample and statistical methods that take into account multiple customer characteristics, in contrast to simple averages.  However, to create projections of lighting profiles the DEER team had to make a number of assumptions.  Although THE DEER TEAM believes these are realistic assumptions, they may turn out not to hold in practice.  We discuss the possible shortcomings to the study in this section.</w:t>
      </w:r>
    </w:p>
    <w:p w:rsidR="009166AD" w:rsidRDefault="009166AD" w:rsidP="009166AD">
      <w:r>
        <w:t xml:space="preserve">The installation analysis was developed for the 2006-2008 evaluation study and updated for 2009.  It relies on assumptions about the flow of CFL bulbs in California.  In particular, it </w:t>
      </w:r>
      <w:r>
        <w:lastRenderedPageBreak/>
        <w:t>assumes that sales of non-program bulbs remain fixed since 2008 and at the same time it assumes that the program net-to-gross ratio is fixed at the 2008 estimated level, independent of program volume.  These assumptions may be problematic, especially for distant years, but they are used for lack of better information.</w:t>
      </w:r>
    </w:p>
    <w:p w:rsidR="009166AD" w:rsidRDefault="009166AD" w:rsidP="009166AD">
      <w:r>
        <w:t>The sinusoid annualization has a reasonable foundation, but it has some limitations that have already been discussed in the context of the 2006-2008 evaluation report.</w:t>
      </w:r>
    </w:p>
    <w:p w:rsidR="009166AD" w:rsidRDefault="009166AD" w:rsidP="009166AD">
      <w:r>
        <w:t>The Ancova model was originally developed for daily hours of use. The DEER team used the same principle when estimating hourly percent on.  Although this approach produces results that are statistically indistinguishable from the direct expansion for most hours of the day, there are exceptions.  For early evening hours of the summer season, such as 6pm and 7pm, the estimates from the Ancova model are lower than the estimates calculated using the direct expansion model.</w:t>
      </w:r>
    </w:p>
    <w:p w:rsidR="009166AD" w:rsidRDefault="009166AD" w:rsidP="009166AD">
      <w:r>
        <w:t xml:space="preserve">Lighting profiles are projected by adjusting the amount of CFL saturation in households.  All else is assumed to remain constant.  Furthermore, the adjustment is uniform in the sense that the analysis team assumes all households will experience the same amount of increase in CFL saturation.  In reality, </w:t>
      </w:r>
      <w:r w:rsidR="000970B0">
        <w:t>we</w:t>
      </w:r>
      <w:r>
        <w:t xml:space="preserve"> expect different segments to have different changes in saturation.  In aggregate, this may not be an issue, but it may warrant more refinement for small cuts of the data.</w:t>
      </w:r>
    </w:p>
    <w:p w:rsidR="009166AD" w:rsidRPr="00D4298F" w:rsidRDefault="009166AD" w:rsidP="009166AD">
      <w:r w:rsidRPr="00D4298F">
        <w:t xml:space="preserve">A more complete analysis </w:t>
      </w:r>
      <w:r>
        <w:t>could</w:t>
      </w:r>
      <w:r w:rsidRPr="00D4298F">
        <w:t xml:space="preserve"> investigate the likelihood of each socket having a CFL as a function of household CFL saturation, socket hours of use, and other factors, with the intent of determining the distribution of CFLs in sockets given an increment in saturation.  In other words, assuming that hours of use are determined by the socket application, </w:t>
      </w:r>
      <w:r w:rsidR="000970B0">
        <w:t>we</w:t>
      </w:r>
      <w:r w:rsidRPr="00D4298F">
        <w:t xml:space="preserve"> will be able to predict what mix of sockets become CFLs as saturation increases.</w:t>
      </w:r>
    </w:p>
    <w:p w:rsidR="009166AD" w:rsidRDefault="009166AD" w:rsidP="009166AD">
      <w:pPr>
        <w:pStyle w:val="Heading2"/>
        <w:numPr>
          <w:ilvl w:val="1"/>
          <w:numId w:val="1"/>
        </w:numPr>
        <w:jc w:val="both"/>
      </w:pPr>
      <w:r>
        <w:t xml:space="preserve">Comparison to </w:t>
      </w:r>
      <w:r w:rsidR="005D7688">
        <w:t xml:space="preserve">Previous </w:t>
      </w:r>
      <w:r>
        <w:t xml:space="preserve">DEER </w:t>
      </w:r>
      <w:r w:rsidR="005D7688">
        <w:t>Results</w:t>
      </w:r>
    </w:p>
    <w:p w:rsidR="009166AD" w:rsidRDefault="006A387D" w:rsidP="009166AD">
      <w:r>
        <w:fldChar w:fldCharType="begin"/>
      </w:r>
      <w:r w:rsidR="009166AD">
        <w:instrText xml:space="preserve"> REF _Ref307565871 \h </w:instrText>
      </w:r>
      <w:r>
        <w:fldChar w:fldCharType="separate"/>
      </w:r>
      <w:r w:rsidR="009166AD">
        <w:t xml:space="preserve">Table </w:t>
      </w:r>
      <w:r w:rsidR="009166AD">
        <w:rPr>
          <w:noProof/>
        </w:rPr>
        <w:t>3</w:t>
      </w:r>
      <w:r w:rsidR="009166AD">
        <w:noBreakHyphen/>
      </w:r>
      <w:r w:rsidR="009166AD">
        <w:rPr>
          <w:noProof/>
        </w:rPr>
        <w:t>8</w:t>
      </w:r>
      <w:r>
        <w:fldChar w:fldCharType="end"/>
      </w:r>
      <w:r w:rsidR="009166AD">
        <w:t xml:space="preserve"> compare the hours of use derived based on this analysis with the hours of use developed in the previous version of DEER updated in 2009 for internal and exterior lighting fixtures.  Daily hours of interior lighting use at the statewide level have declined by 32 % from 2.18 hours per day to 1.48 hours per day.  Estimated daily hour of use for exterior lighting fixtures has actually increased by 10%, from 3.42 hours per day to 3.10 hours per day. The decrease in lighting usage was expected by the DEER team given the increase saturation of CFL in residential dwellings but the explanation for why exterior lighting hours should have increased is not yet clear. The DEER team plans to continue to investigate this issue and may provide an updated estimate at a later date.</w:t>
      </w:r>
    </w:p>
    <w:p w:rsidR="009166AD" w:rsidRDefault="009166AD" w:rsidP="009166AD"/>
    <w:p w:rsidR="009166AD" w:rsidRDefault="009166AD" w:rsidP="009166AD">
      <w:pPr>
        <w:pStyle w:val="Caption"/>
      </w:pPr>
      <w:bookmarkStart w:id="10" w:name="_Ref307565871"/>
      <w:bookmarkStart w:id="11" w:name="_Ref307565860"/>
      <w:r>
        <w:lastRenderedPageBreak/>
        <w:t xml:space="preserve">Table </w:t>
      </w:r>
      <w:fldSimple w:instr=" STYLEREF 1 \s ">
        <w:r>
          <w:rPr>
            <w:noProof/>
          </w:rPr>
          <w:t>3</w:t>
        </w:r>
      </w:fldSimple>
      <w:r>
        <w:noBreakHyphen/>
      </w:r>
      <w:fldSimple w:instr=" SEQ Table \* ARABIC \s 1 ">
        <w:r>
          <w:rPr>
            <w:noProof/>
          </w:rPr>
          <w:t>8</w:t>
        </w:r>
      </w:fldSimple>
      <w:bookmarkEnd w:id="10"/>
      <w:r>
        <w:t xml:space="preserve">: Estimated Daily Hours of Use for Interior and Exterior Residential Light </w:t>
      </w:r>
      <w:bookmarkEnd w:id="11"/>
      <w:r>
        <w:t>Fixtures</w:t>
      </w:r>
    </w:p>
    <w:p w:rsidR="009166AD" w:rsidRPr="006A0810" w:rsidRDefault="009166AD" w:rsidP="009166AD">
      <w:r>
        <w:rPr>
          <w:noProof/>
        </w:rPr>
        <w:drawing>
          <wp:inline distT="0" distB="0" distL="0" distR="0">
            <wp:extent cx="3398520" cy="3114040"/>
            <wp:effectExtent l="19050" t="0" r="0" b="0"/>
            <wp:docPr id="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398520" cy="3114040"/>
                    </a:xfrm>
                    <a:prstGeom prst="rect">
                      <a:avLst/>
                    </a:prstGeom>
                    <a:noFill/>
                    <a:ln w="9525">
                      <a:noFill/>
                      <a:miter lim="800000"/>
                      <a:headEnd/>
                      <a:tailEnd/>
                    </a:ln>
                  </pic:spPr>
                </pic:pic>
              </a:graphicData>
            </a:graphic>
          </wp:inline>
        </w:drawing>
      </w:r>
    </w:p>
    <w:p w:rsidR="009166AD" w:rsidRDefault="009166AD" w:rsidP="009166AD">
      <w:pPr>
        <w:pStyle w:val="Heading2"/>
        <w:numPr>
          <w:ilvl w:val="1"/>
          <w:numId w:val="1"/>
        </w:numPr>
        <w:jc w:val="both"/>
      </w:pPr>
      <w:r>
        <w:t>Conclusion</w:t>
      </w:r>
    </w:p>
    <w:p w:rsidR="009166AD" w:rsidRDefault="009166AD" w:rsidP="009166AD">
      <w:r>
        <w:t xml:space="preserve">The extensive data collection efforts conducted by the KEMA team in the residential lighting area have allowed the DEER team to develop much more robust estimates of lighting usage.  Whether the observed trends toward lower daily hours of usage between 2008 and 2011 are likely to continue depends on a variety of factors including the characteristics and lighting usage habits of the late adopters, new competitors to CFLs stimulated by the new EISA standards, and perhaps even future economic conditions. Comments on the current analysis of adjusted hours of use the key market factors that should be monitored because they may lead to further changes in hours of use.  </w:t>
      </w:r>
    </w:p>
    <w:p w:rsidR="009166AD" w:rsidRDefault="009166AD" w:rsidP="009166AD">
      <w:pPr>
        <w:pStyle w:val="Heading2"/>
        <w:numPr>
          <w:ilvl w:val="1"/>
          <w:numId w:val="1"/>
        </w:numPr>
        <w:jc w:val="both"/>
      </w:pPr>
      <w:r>
        <w:t>References</w:t>
      </w:r>
    </w:p>
    <w:p w:rsidR="009166AD" w:rsidRDefault="009166AD" w:rsidP="009166AD">
      <w:pPr>
        <w:pStyle w:val="Bibliography"/>
        <w:spacing w:after="120" w:line="240" w:lineRule="auto"/>
        <w:rPr>
          <w:noProof/>
        </w:rPr>
      </w:pPr>
      <w:r>
        <w:rPr>
          <w:noProof/>
        </w:rPr>
        <w:t xml:space="preserve">KEMA. (2010b). </w:t>
      </w:r>
      <w:r>
        <w:rPr>
          <w:i/>
          <w:iCs/>
          <w:noProof/>
        </w:rPr>
        <w:t>Additional Analysis of 2006-2008 Impact Evaluation Results for DEER Update.</w:t>
      </w:r>
    </w:p>
    <w:p w:rsidR="009166AD" w:rsidRDefault="009166AD" w:rsidP="009166AD">
      <w:pPr>
        <w:pStyle w:val="Bibliography"/>
        <w:spacing w:after="120" w:line="240" w:lineRule="auto"/>
        <w:rPr>
          <w:noProof/>
        </w:rPr>
      </w:pPr>
      <w:r>
        <w:rPr>
          <w:noProof/>
        </w:rPr>
        <w:t xml:space="preserve">KEMA. (2010a). </w:t>
      </w:r>
      <w:r>
        <w:rPr>
          <w:i/>
          <w:iCs/>
          <w:noProof/>
        </w:rPr>
        <w:t>Final Evaluation Report: Upstream Lighting Program, Vol 1, CALMAC CPU0015.01.</w:t>
      </w:r>
    </w:p>
    <w:p w:rsidR="008D7823" w:rsidRPr="009166AD" w:rsidRDefault="009166AD" w:rsidP="005D7688">
      <w:pPr>
        <w:pStyle w:val="Bibliography"/>
        <w:spacing w:after="120" w:line="240" w:lineRule="auto"/>
        <w:rPr>
          <w:noProof/>
        </w:rPr>
      </w:pPr>
      <w:r>
        <w:rPr>
          <w:noProof/>
        </w:rPr>
        <w:t xml:space="preserve">KEMA. (2011). </w:t>
      </w:r>
      <w:r>
        <w:rPr>
          <w:i/>
          <w:iCs/>
          <w:noProof/>
        </w:rPr>
        <w:t>KEMA Retail Energy Outlook, Issue 9, Q2.</w:t>
      </w:r>
    </w:p>
    <w:sectPr w:rsidR="008D7823" w:rsidRPr="009166AD" w:rsidSect="009166AD">
      <w:headerReference w:type="default" r:id="rId10"/>
      <w:footerReference w:type="default" r:id="rId11"/>
      <w:footerReference w:type="first" r:id="rId12"/>
      <w:pgSz w:w="12240" w:h="15840" w:code="1"/>
      <w:pgMar w:top="1440" w:right="1440" w:bottom="1440" w:left="1440" w:header="720" w:footer="720" w:gutter="0"/>
      <w:pgNumType w:start="1" w:chapStyle="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6D5" w:rsidRDefault="005516D5" w:rsidP="009166AD">
      <w:pPr>
        <w:spacing w:after="0" w:line="240" w:lineRule="auto"/>
      </w:pPr>
      <w:r>
        <w:separator/>
      </w:r>
    </w:p>
  </w:endnote>
  <w:endnote w:type="continuationSeparator" w:id="0">
    <w:p w:rsidR="005516D5" w:rsidRDefault="005516D5" w:rsidP="009166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6AD" w:rsidRDefault="009166AD" w:rsidP="009166AD">
    <w:pPr>
      <w:pStyle w:val="Footer"/>
    </w:pPr>
    <w:r>
      <w:t>Itron, Inc.</w:t>
    </w:r>
    <w:r>
      <w:tab/>
    </w:r>
    <w:fldSimple w:instr=" PAGE   \* MERGEFORMAT ">
      <w:r w:rsidR="000970B0">
        <w:rPr>
          <w:noProof/>
        </w:rPr>
        <w:t>3-6</w:t>
      </w:r>
    </w:fldSimple>
    <w:r>
      <w:tab/>
      <w:t>Update: Residential Lighting Impact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6AD" w:rsidRDefault="009166AD" w:rsidP="009166AD">
    <w:pPr>
      <w:pStyle w:val="Footer"/>
    </w:pPr>
    <w:r>
      <w:t>Itron, Inc.</w:t>
    </w:r>
    <w:r>
      <w:tab/>
    </w:r>
    <w:fldSimple w:instr=" PAGE   \* MERGEFORMAT ">
      <w:r w:rsidR="000970B0">
        <w:rPr>
          <w:noProof/>
        </w:rPr>
        <w:t>3-1</w:t>
      </w:r>
    </w:fldSimple>
    <w:r>
      <w:tab/>
      <w:t>Update: Residential Lighting Impact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6D5" w:rsidRDefault="005516D5" w:rsidP="009166AD">
      <w:pPr>
        <w:spacing w:after="0" w:line="240" w:lineRule="auto"/>
      </w:pPr>
      <w:r>
        <w:separator/>
      </w:r>
    </w:p>
  </w:footnote>
  <w:footnote w:type="continuationSeparator" w:id="0">
    <w:p w:rsidR="005516D5" w:rsidRDefault="005516D5" w:rsidP="009166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6AD" w:rsidRPr="009166AD" w:rsidRDefault="009166AD" w:rsidP="009166AD">
    <w:pPr>
      <w:pStyle w:val="Header"/>
    </w:pPr>
    <w:r w:rsidRPr="004A2556">
      <w:t>Database for Energy Efficiency Resources: 2011 Update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0747692"/>
    <w:lvl w:ilvl="0">
      <w:start w:val="1"/>
      <w:numFmt w:val="bullet"/>
      <w:pStyle w:val="ListBullet2"/>
      <w:lvlText w:val="─"/>
      <w:lvlJc w:val="left"/>
      <w:pPr>
        <w:ind w:left="1800" w:hanging="360"/>
      </w:pPr>
      <w:rPr>
        <w:rFonts w:ascii="Times New Roman" w:hAnsi="Times New Roman" w:cs="Times New Roman" w:hint="default"/>
        <w:sz w:val="24"/>
      </w:rPr>
    </w:lvl>
  </w:abstractNum>
  <w:abstractNum w:abstractNumId="1">
    <w:nsid w:val="FFFFFF89"/>
    <w:multiLevelType w:val="singleLevel"/>
    <w:tmpl w:val="55C4A022"/>
    <w:lvl w:ilvl="0">
      <w:start w:val="1"/>
      <w:numFmt w:val="bullet"/>
      <w:lvlText w:val=""/>
      <w:lvlJc w:val="left"/>
      <w:pPr>
        <w:tabs>
          <w:tab w:val="num" w:pos="360"/>
        </w:tabs>
        <w:ind w:left="360" w:hanging="360"/>
      </w:pPr>
      <w:rPr>
        <w:rFonts w:ascii="Symbol" w:hAnsi="Symbol" w:hint="default"/>
      </w:rPr>
    </w:lvl>
  </w:abstractNum>
  <w:abstractNum w:abstractNumId="2">
    <w:nsid w:val="FFFFFFFB"/>
    <w:multiLevelType w:val="multilevel"/>
    <w:tmpl w:val="F5E86536"/>
    <w:lvl w:ilvl="0">
      <w:start w:val="3"/>
      <w:numFmt w:val="decimal"/>
      <w:pStyle w:val="Heading1"/>
      <w:suff w:val="nothing"/>
      <w:lvlText w:val="%1"/>
      <w:lvlJc w:val="left"/>
      <w:pPr>
        <w:ind w:left="0" w:firstLine="0"/>
      </w:pPr>
      <w:rPr>
        <w:rFonts w:ascii="Arial" w:hAnsi="Arial" w:hint="default"/>
        <w:b/>
        <w:i/>
        <w:sz w:val="72"/>
      </w:rPr>
    </w:lvl>
    <w:lvl w:ilvl="1">
      <w:start w:val="1"/>
      <w:numFmt w:val="decimal"/>
      <w:pStyle w:val="Heading2"/>
      <w:suff w:val="nothing"/>
      <w:lvlText w:val="%1.%2  "/>
      <w:lvlJc w:val="left"/>
      <w:pPr>
        <w:ind w:left="0" w:firstLine="0"/>
      </w:pPr>
      <w:rPr>
        <w:rFonts w:ascii="Arial" w:hAnsi="Arial" w:hint="default"/>
        <w:b/>
        <w:i w:val="0"/>
        <w:sz w:val="28"/>
      </w:rPr>
    </w:lvl>
    <w:lvl w:ilvl="2">
      <w:start w:val="1"/>
      <w:numFmt w:val="decimal"/>
      <w:pStyle w:val="Heading3"/>
      <w:suff w:val="nothing"/>
      <w:lvlText w:val="%1.%2.%3  "/>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
    <w:nsid w:val="080A0EEF"/>
    <w:multiLevelType w:val="multilevel"/>
    <w:tmpl w:val="C8782C1C"/>
    <w:lvl w:ilvl="0">
      <w:start w:val="1"/>
      <w:numFmt w:val="upperLetter"/>
      <w:suff w:val="nothing"/>
      <w:lvlText w:val="Appendix %1"/>
      <w:lvlJc w:val="left"/>
      <w:pPr>
        <w:ind w:left="0" w:firstLine="0"/>
      </w:pPr>
      <w:rPr>
        <w:rFonts w:ascii="Arial" w:hAnsi="Arial" w:hint="default"/>
        <w:b/>
        <w:i/>
        <w:sz w:val="60"/>
      </w:rPr>
    </w:lvl>
    <w:lvl w:ilvl="1">
      <w:start w:val="1"/>
      <w:numFmt w:val="decimal"/>
      <w:suff w:val="nothing"/>
      <w:lvlText w:val="%1.%2  "/>
      <w:lvlJc w:val="left"/>
      <w:pPr>
        <w:ind w:left="0" w:firstLine="0"/>
      </w:pPr>
      <w:rPr>
        <w:rFonts w:ascii="Arial" w:hAnsi="Arial" w:hint="default"/>
        <w:b/>
        <w:i w:val="0"/>
        <w:sz w:val="28"/>
        <w:szCs w:val="28"/>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cs="Times New Roman" w:hint="default"/>
        <w:b/>
        <w:sz w:val="24"/>
      </w:rPr>
    </w:lvl>
    <w:lvl w:ilvl="2">
      <w:start w:val="1"/>
      <w:numFmt w:val="bullet"/>
      <w:lvlText w:val="-"/>
      <w:lvlJc w:val="left"/>
      <w:pPr>
        <w:ind w:left="1584" w:hanging="432"/>
      </w:pPr>
      <w:rPr>
        <w:rFonts w:ascii="Times New Roman" w:hAnsi="Times New Roman" w:cs="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5">
    <w:nsid w:val="6ABC0982"/>
    <w:multiLevelType w:val="multilevel"/>
    <w:tmpl w:val="04090021"/>
    <w:styleLink w:val="Itron"/>
    <w:lvl w:ilvl="0">
      <w:start w:val="1"/>
      <w:numFmt w:val="bullet"/>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cs="Times New Roman" w:hint="default"/>
        <w:b/>
        <w:sz w:val="24"/>
      </w:rPr>
    </w:lvl>
    <w:lvl w:ilvl="2">
      <w:start w:val="1"/>
      <w:numFmt w:val="bullet"/>
      <w:lvlText w:val="-"/>
      <w:lvlJc w:val="left"/>
      <w:pPr>
        <w:ind w:left="2520" w:hanging="360"/>
      </w:pPr>
      <w:rPr>
        <w:rFonts w:ascii="Times New Roman" w:hAnsi="Times New Roman" w:cs="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num w:numId="1">
    <w:abstractNumId w:val="2"/>
  </w:num>
  <w:num w:numId="2">
    <w:abstractNumId w:val="2"/>
  </w:num>
  <w:num w:numId="3">
    <w:abstractNumId w:val="2"/>
  </w:num>
  <w:num w:numId="4">
    <w:abstractNumId w:val="2"/>
  </w:num>
  <w:num w:numId="5">
    <w:abstractNumId w:val="3"/>
  </w:num>
  <w:num w:numId="6">
    <w:abstractNumId w:val="2"/>
  </w:num>
  <w:num w:numId="7">
    <w:abstractNumId w:val="2"/>
  </w:num>
  <w:num w:numId="8">
    <w:abstractNumId w:val="0"/>
  </w:num>
  <w:num w:numId="9">
    <w:abstractNumId w:val="0"/>
  </w:num>
  <w:num w:numId="10">
    <w:abstractNumId w:val="5"/>
  </w:num>
  <w:num w:numId="11">
    <w:abstractNumId w:val="4"/>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4"/>
  </w:num>
  <w:num w:numId="22">
    <w:abstractNumId w:val="4"/>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0"/>
  </w:num>
  <w:num w:numId="36">
    <w:abstractNumId w:val="4"/>
  </w:num>
  <w:num w:numId="37">
    <w:abstractNumId w:val="2"/>
  </w:num>
  <w:num w:numId="38">
    <w:abstractNumId w:val="2"/>
  </w:num>
  <w:num w:numId="39">
    <w:abstractNumId w:val="2"/>
  </w:num>
  <w:num w:numId="40">
    <w:abstractNumId w:val="2"/>
  </w:num>
  <w:num w:numId="41">
    <w:abstractNumId w:val="2"/>
  </w:num>
  <w:num w:numId="42">
    <w:abstractNumId w:val="2"/>
  </w:num>
  <w:num w:numId="43">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stylePaneSortMethod w:val="0004"/>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footnotePr>
    <w:footnote w:id="-1"/>
    <w:footnote w:id="0"/>
  </w:footnotePr>
  <w:endnotePr>
    <w:endnote w:id="-1"/>
    <w:endnote w:id="0"/>
  </w:endnotePr>
  <w:compat/>
  <w:rsids>
    <w:rsidRoot w:val="009166AD"/>
    <w:rsid w:val="00017D18"/>
    <w:rsid w:val="00022F17"/>
    <w:rsid w:val="0007312F"/>
    <w:rsid w:val="00075645"/>
    <w:rsid w:val="00077287"/>
    <w:rsid w:val="00096103"/>
    <w:rsid w:val="000970B0"/>
    <w:rsid w:val="000B2BEB"/>
    <w:rsid w:val="000B3777"/>
    <w:rsid w:val="000B731D"/>
    <w:rsid w:val="000C6631"/>
    <w:rsid w:val="000D688E"/>
    <w:rsid w:val="000E539F"/>
    <w:rsid w:val="0011319A"/>
    <w:rsid w:val="00150886"/>
    <w:rsid w:val="00157EA9"/>
    <w:rsid w:val="00166A00"/>
    <w:rsid w:val="001700C4"/>
    <w:rsid w:val="001712B1"/>
    <w:rsid w:val="001B177F"/>
    <w:rsid w:val="001C005E"/>
    <w:rsid w:val="001E0716"/>
    <w:rsid w:val="001E32AE"/>
    <w:rsid w:val="001E7BE2"/>
    <w:rsid w:val="00205160"/>
    <w:rsid w:val="00230BF7"/>
    <w:rsid w:val="00231EB1"/>
    <w:rsid w:val="00246847"/>
    <w:rsid w:val="00247593"/>
    <w:rsid w:val="00260180"/>
    <w:rsid w:val="002663FA"/>
    <w:rsid w:val="00275841"/>
    <w:rsid w:val="00292F27"/>
    <w:rsid w:val="002B7BCD"/>
    <w:rsid w:val="002C7AFB"/>
    <w:rsid w:val="003066E7"/>
    <w:rsid w:val="00315C37"/>
    <w:rsid w:val="00317ED5"/>
    <w:rsid w:val="003240BC"/>
    <w:rsid w:val="003255E0"/>
    <w:rsid w:val="00346291"/>
    <w:rsid w:val="003A3041"/>
    <w:rsid w:val="003B15C1"/>
    <w:rsid w:val="003B2EC3"/>
    <w:rsid w:val="003E1694"/>
    <w:rsid w:val="003E6290"/>
    <w:rsid w:val="003F505C"/>
    <w:rsid w:val="003F678D"/>
    <w:rsid w:val="00400DF8"/>
    <w:rsid w:val="00415F0C"/>
    <w:rsid w:val="00423113"/>
    <w:rsid w:val="00427454"/>
    <w:rsid w:val="0043551E"/>
    <w:rsid w:val="004409B2"/>
    <w:rsid w:val="00455856"/>
    <w:rsid w:val="00467A6A"/>
    <w:rsid w:val="0047130C"/>
    <w:rsid w:val="004819BB"/>
    <w:rsid w:val="00485477"/>
    <w:rsid w:val="004B0FCC"/>
    <w:rsid w:val="004B46F8"/>
    <w:rsid w:val="004C7495"/>
    <w:rsid w:val="004E0AD6"/>
    <w:rsid w:val="00521A5F"/>
    <w:rsid w:val="00521A9C"/>
    <w:rsid w:val="005516D5"/>
    <w:rsid w:val="005528D8"/>
    <w:rsid w:val="00552C8F"/>
    <w:rsid w:val="0055720C"/>
    <w:rsid w:val="00557A79"/>
    <w:rsid w:val="00565425"/>
    <w:rsid w:val="00565D8A"/>
    <w:rsid w:val="00573DEC"/>
    <w:rsid w:val="00580BAD"/>
    <w:rsid w:val="0059308D"/>
    <w:rsid w:val="005939CC"/>
    <w:rsid w:val="005D5666"/>
    <w:rsid w:val="005D596C"/>
    <w:rsid w:val="005D7688"/>
    <w:rsid w:val="005F3293"/>
    <w:rsid w:val="00603EEC"/>
    <w:rsid w:val="006232E8"/>
    <w:rsid w:val="00657787"/>
    <w:rsid w:val="00682A57"/>
    <w:rsid w:val="006A387D"/>
    <w:rsid w:val="006B7229"/>
    <w:rsid w:val="006C0097"/>
    <w:rsid w:val="006C080F"/>
    <w:rsid w:val="00706638"/>
    <w:rsid w:val="007113FC"/>
    <w:rsid w:val="007141BD"/>
    <w:rsid w:val="00715736"/>
    <w:rsid w:val="007316AA"/>
    <w:rsid w:val="00754D3E"/>
    <w:rsid w:val="00763661"/>
    <w:rsid w:val="00775E7E"/>
    <w:rsid w:val="00777A7C"/>
    <w:rsid w:val="00783EDA"/>
    <w:rsid w:val="00790A7E"/>
    <w:rsid w:val="007B1B87"/>
    <w:rsid w:val="007B4132"/>
    <w:rsid w:val="007C6F54"/>
    <w:rsid w:val="007D5D84"/>
    <w:rsid w:val="0081057C"/>
    <w:rsid w:val="008111FE"/>
    <w:rsid w:val="00811304"/>
    <w:rsid w:val="00817DEE"/>
    <w:rsid w:val="00826D05"/>
    <w:rsid w:val="008472D8"/>
    <w:rsid w:val="00857BBF"/>
    <w:rsid w:val="008646A2"/>
    <w:rsid w:val="00874650"/>
    <w:rsid w:val="00875025"/>
    <w:rsid w:val="00877628"/>
    <w:rsid w:val="008873D0"/>
    <w:rsid w:val="0089278A"/>
    <w:rsid w:val="0089429D"/>
    <w:rsid w:val="008A271C"/>
    <w:rsid w:val="008C3DA3"/>
    <w:rsid w:val="008D7823"/>
    <w:rsid w:val="008E2E63"/>
    <w:rsid w:val="008E45F8"/>
    <w:rsid w:val="008F6F18"/>
    <w:rsid w:val="0091065E"/>
    <w:rsid w:val="009166AD"/>
    <w:rsid w:val="009558AE"/>
    <w:rsid w:val="00990F68"/>
    <w:rsid w:val="009B0D60"/>
    <w:rsid w:val="009C3564"/>
    <w:rsid w:val="009D0319"/>
    <w:rsid w:val="009D290C"/>
    <w:rsid w:val="00A12B0C"/>
    <w:rsid w:val="00A12C80"/>
    <w:rsid w:val="00A240A6"/>
    <w:rsid w:val="00A31B8F"/>
    <w:rsid w:val="00A50622"/>
    <w:rsid w:val="00A715DD"/>
    <w:rsid w:val="00AA75FC"/>
    <w:rsid w:val="00AF77F2"/>
    <w:rsid w:val="00B05AD1"/>
    <w:rsid w:val="00B21A11"/>
    <w:rsid w:val="00B30FAF"/>
    <w:rsid w:val="00B332C5"/>
    <w:rsid w:val="00B35DD3"/>
    <w:rsid w:val="00B47148"/>
    <w:rsid w:val="00B66B8D"/>
    <w:rsid w:val="00B821A0"/>
    <w:rsid w:val="00BA106C"/>
    <w:rsid w:val="00BE68D1"/>
    <w:rsid w:val="00BF6708"/>
    <w:rsid w:val="00C030F3"/>
    <w:rsid w:val="00C07173"/>
    <w:rsid w:val="00C40245"/>
    <w:rsid w:val="00C47AFD"/>
    <w:rsid w:val="00C8408E"/>
    <w:rsid w:val="00C85E22"/>
    <w:rsid w:val="00C87E1B"/>
    <w:rsid w:val="00C90C1B"/>
    <w:rsid w:val="00C96282"/>
    <w:rsid w:val="00CA4418"/>
    <w:rsid w:val="00CA4CA6"/>
    <w:rsid w:val="00CA75C7"/>
    <w:rsid w:val="00CC1E01"/>
    <w:rsid w:val="00CD4193"/>
    <w:rsid w:val="00CF4860"/>
    <w:rsid w:val="00D21F89"/>
    <w:rsid w:val="00D51169"/>
    <w:rsid w:val="00D5135F"/>
    <w:rsid w:val="00D72BF2"/>
    <w:rsid w:val="00D833E2"/>
    <w:rsid w:val="00D842FF"/>
    <w:rsid w:val="00DA04B7"/>
    <w:rsid w:val="00DB3C51"/>
    <w:rsid w:val="00DC1564"/>
    <w:rsid w:val="00DC1DD9"/>
    <w:rsid w:val="00DE632E"/>
    <w:rsid w:val="00E251FF"/>
    <w:rsid w:val="00E37D92"/>
    <w:rsid w:val="00E450CF"/>
    <w:rsid w:val="00E560B6"/>
    <w:rsid w:val="00E56B8B"/>
    <w:rsid w:val="00E67904"/>
    <w:rsid w:val="00E86B02"/>
    <w:rsid w:val="00E86B64"/>
    <w:rsid w:val="00ED1F77"/>
    <w:rsid w:val="00ED70B2"/>
    <w:rsid w:val="00F126C3"/>
    <w:rsid w:val="00F21DB5"/>
    <w:rsid w:val="00F30170"/>
    <w:rsid w:val="00F3759B"/>
    <w:rsid w:val="00F42A2D"/>
    <w:rsid w:val="00F60F5F"/>
    <w:rsid w:val="00F634D6"/>
    <w:rsid w:val="00F70106"/>
    <w:rsid w:val="00F87DBB"/>
    <w:rsid w:val="00F9623A"/>
    <w:rsid w:val="00FF5474"/>
    <w:rsid w:val="00FF66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pPr>
        <w:spacing w:after="130" w:line="320" w:lineRule="atLeast"/>
        <w:ind w:left="720" w:hanging="432"/>
        <w:jc w:val="both"/>
      </w:pPr>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99"/>
    <w:lsdException w:name="toc 2" w:uiPriority="99"/>
    <w:lsdException w:name="toc 3" w:uiPriority="99"/>
    <w:lsdException w:name="toc 4" w:uiPriority="99"/>
    <w:lsdException w:name="toc 5" w:uiPriority="99"/>
    <w:lsdException w:name="toc 6" w:uiPriority="99"/>
    <w:lsdException w:name="footnote text" w:uiPriority="99"/>
    <w:lsdException w:name="annotation text" w:uiPriority="99"/>
    <w:lsdException w:name="header" w:uiPriority="99"/>
    <w:lsdException w:name="footer" w:uiPriority="99"/>
    <w:lsdException w:name="index heading" w:uiPriority="99"/>
    <w:lsdException w:name="caption" w:uiPriority="99" w:qFormat="1"/>
    <w:lsdException w:name="table of figures" w:uiPriority="99"/>
    <w:lsdException w:name="envelope address" w:uiPriority="99"/>
    <w:lsdException w:name="footnote reference" w:uiPriority="99"/>
    <w:lsdException w:name="annotation reference" w:uiPriority="99"/>
    <w:lsdException w:name="line number" w:uiPriority="99"/>
    <w:lsdException w:name="page number" w:uiPriority="99"/>
    <w:lsdException w:name="List Bullet" w:uiPriority="99"/>
    <w:lsdException w:name="List Bullet 2" w:uiPriority="99"/>
    <w:lsdException w:name="Title" w:uiPriority="99" w:qFormat="1"/>
    <w:lsdException w:name="Default Paragraph Font" w:uiPriority="1"/>
    <w:lsdException w:name="Subtitle" w:qFormat="1"/>
    <w:lsdException w:name="Hyperlink" w:uiPriority="99"/>
    <w:lsdException w:name="Strong" w:qFormat="1"/>
    <w:lsdException w:name="Emphasis" w:qFormat="1"/>
    <w:lsdException w:name="Document Map"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99" w:unhideWhenUsed="1"/>
    <w:lsdException w:name="TOC Heading" w:semiHidden="1" w:uiPriority="39" w:unhideWhenUsed="1" w:qFormat="1"/>
  </w:latentStyles>
  <w:style w:type="paragraph" w:default="1" w:styleId="Normal">
    <w:name w:val="Normal"/>
    <w:qFormat/>
    <w:rsid w:val="00150886"/>
    <w:pPr>
      <w:spacing w:after="280"/>
      <w:ind w:left="0" w:firstLine="0"/>
    </w:pPr>
    <w:rPr>
      <w:rFonts w:ascii="Times New Roman" w:hAnsi="Times New Roman"/>
      <w:sz w:val="24"/>
      <w:szCs w:val="24"/>
    </w:rPr>
  </w:style>
  <w:style w:type="paragraph" w:styleId="Heading1">
    <w:name w:val="heading 1"/>
    <w:basedOn w:val="Normal"/>
    <w:next w:val="Normal"/>
    <w:link w:val="Heading1Char"/>
    <w:uiPriority w:val="9"/>
    <w:qFormat/>
    <w:rsid w:val="00DE632E"/>
    <w:pPr>
      <w:keepNext/>
      <w:numPr>
        <w:numId w:val="42"/>
      </w:numPr>
      <w:pBdr>
        <w:bottom w:val="single" w:sz="12" w:space="26" w:color="auto"/>
      </w:pBdr>
      <w:spacing w:after="240"/>
      <w:jc w:val="left"/>
      <w:outlineLvl w:val="0"/>
    </w:pPr>
    <w:rPr>
      <w:rFonts w:ascii="Arial" w:hAnsi="Arial" w:cs="Arial"/>
      <w:b/>
      <w:bCs/>
      <w:sz w:val="36"/>
      <w:szCs w:val="36"/>
    </w:rPr>
  </w:style>
  <w:style w:type="paragraph" w:styleId="Heading2">
    <w:name w:val="heading 2"/>
    <w:basedOn w:val="Normal"/>
    <w:next w:val="Normal"/>
    <w:link w:val="Heading2Char"/>
    <w:uiPriority w:val="99"/>
    <w:qFormat/>
    <w:rsid w:val="00DE632E"/>
    <w:pPr>
      <w:keepNext/>
      <w:numPr>
        <w:ilvl w:val="1"/>
        <w:numId w:val="42"/>
      </w:numPr>
      <w:spacing w:before="480" w:after="180"/>
      <w:jc w:val="left"/>
      <w:outlineLvl w:val="1"/>
    </w:pPr>
    <w:rPr>
      <w:rFonts w:ascii="Arial" w:hAnsi="Arial" w:cs="Arial"/>
      <w:b/>
      <w:bCs/>
      <w:sz w:val="28"/>
      <w:szCs w:val="28"/>
    </w:rPr>
  </w:style>
  <w:style w:type="paragraph" w:styleId="Heading3">
    <w:name w:val="heading 3"/>
    <w:basedOn w:val="Normal"/>
    <w:next w:val="Normal"/>
    <w:link w:val="Heading3Char"/>
    <w:autoRedefine/>
    <w:uiPriority w:val="99"/>
    <w:qFormat/>
    <w:rsid w:val="00DE632E"/>
    <w:pPr>
      <w:keepNext/>
      <w:numPr>
        <w:ilvl w:val="2"/>
        <w:numId w:val="42"/>
      </w:numPr>
      <w:spacing w:after="180" w:line="240" w:lineRule="auto"/>
      <w:jc w:val="left"/>
      <w:outlineLvl w:val="2"/>
    </w:pPr>
    <w:rPr>
      <w:rFonts w:ascii="Arial" w:hAnsi="Arial" w:cs="Arial"/>
      <w:b/>
      <w:bCs/>
      <w:i/>
      <w:iCs/>
    </w:rPr>
  </w:style>
  <w:style w:type="paragraph" w:styleId="Heading4">
    <w:name w:val="heading 4"/>
    <w:basedOn w:val="Normal"/>
    <w:next w:val="Normal"/>
    <w:link w:val="Heading4Char"/>
    <w:uiPriority w:val="99"/>
    <w:qFormat/>
    <w:rsid w:val="00DE632E"/>
    <w:pPr>
      <w:keepNext/>
      <w:keepLines/>
      <w:numPr>
        <w:ilvl w:val="3"/>
        <w:numId w:val="42"/>
      </w:numPr>
      <w:spacing w:after="180"/>
      <w:jc w:val="left"/>
      <w:outlineLvl w:val="3"/>
    </w:pPr>
    <w:rPr>
      <w:b/>
      <w:i/>
      <w:iCs/>
      <w:u w:val="single"/>
    </w:rPr>
  </w:style>
  <w:style w:type="paragraph" w:styleId="Heading5">
    <w:name w:val="heading 5"/>
    <w:basedOn w:val="Normal"/>
    <w:next w:val="Normal"/>
    <w:link w:val="Heading5Char"/>
    <w:uiPriority w:val="99"/>
    <w:qFormat/>
    <w:rsid w:val="00DE632E"/>
    <w:pPr>
      <w:keepNext/>
      <w:keepLines/>
      <w:numPr>
        <w:ilvl w:val="4"/>
        <w:numId w:val="42"/>
      </w:numPr>
      <w:outlineLvl w:val="4"/>
    </w:pPr>
    <w:rPr>
      <w:rFonts w:cs="Arial"/>
      <w:bCs/>
      <w:i/>
      <w:u w:val="single"/>
    </w:rPr>
  </w:style>
  <w:style w:type="paragraph" w:styleId="Heading6">
    <w:name w:val="heading 6"/>
    <w:basedOn w:val="Heading1"/>
    <w:next w:val="Normal"/>
    <w:link w:val="Heading6Char"/>
    <w:uiPriority w:val="99"/>
    <w:qFormat/>
    <w:rsid w:val="00D842FF"/>
    <w:pPr>
      <w:numPr>
        <w:ilvl w:val="5"/>
      </w:numPr>
      <w:pBdr>
        <w:bottom w:val="none" w:sz="0" w:space="0" w:color="auto"/>
      </w:pBdr>
      <w:tabs>
        <w:tab w:val="left" w:pos="2880"/>
      </w:tabs>
      <w:spacing w:after="120"/>
      <w:outlineLvl w:val="5"/>
    </w:pPr>
    <w:rPr>
      <w:rFonts w:ascii="Times New Roman" w:hAnsi="Times New Roman"/>
      <w:sz w:val="24"/>
      <w:szCs w:val="24"/>
    </w:rPr>
  </w:style>
  <w:style w:type="paragraph" w:styleId="Heading7">
    <w:name w:val="heading 7"/>
    <w:basedOn w:val="Heading1"/>
    <w:next w:val="Normal"/>
    <w:link w:val="Heading7Char"/>
    <w:uiPriority w:val="99"/>
    <w:qFormat/>
    <w:rsid w:val="00D842FF"/>
    <w:pPr>
      <w:numPr>
        <w:ilvl w:val="6"/>
      </w:numPr>
      <w:tabs>
        <w:tab w:val="left" w:pos="3456"/>
      </w:tabs>
      <w:outlineLvl w:val="6"/>
    </w:pPr>
  </w:style>
  <w:style w:type="paragraph" w:styleId="Heading8">
    <w:name w:val="heading 8"/>
    <w:basedOn w:val="Normal"/>
    <w:next w:val="Normal"/>
    <w:link w:val="Heading8Char"/>
    <w:uiPriority w:val="99"/>
    <w:qFormat/>
    <w:rsid w:val="00DE632E"/>
    <w:pPr>
      <w:numPr>
        <w:ilvl w:val="7"/>
        <w:numId w:val="42"/>
      </w:numPr>
      <w:outlineLvl w:val="7"/>
    </w:pPr>
    <w:rPr>
      <w:rFonts w:ascii="Tms Rmn" w:hAnsi="Tms Rmn"/>
      <w:i/>
      <w:iCs/>
      <w:sz w:val="20"/>
      <w:szCs w:val="20"/>
    </w:rPr>
  </w:style>
  <w:style w:type="paragraph" w:styleId="Heading9">
    <w:name w:val="heading 9"/>
    <w:basedOn w:val="Normal"/>
    <w:next w:val="Normal"/>
    <w:link w:val="Heading9Char"/>
    <w:uiPriority w:val="99"/>
    <w:qFormat/>
    <w:rsid w:val="00DE632E"/>
    <w:pPr>
      <w:numPr>
        <w:ilvl w:val="8"/>
        <w:numId w:val="42"/>
      </w:numPr>
      <w:outlineLvl w:val="8"/>
    </w:pPr>
    <w:rPr>
      <w:rFonts w:ascii="Tms Rmn" w:hAnsi="Tms Rm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J">
    <w:name w:val="pJ"/>
    <w:next w:val="Normal"/>
    <w:uiPriority w:val="99"/>
    <w:rsid w:val="00D842FF"/>
    <w:rPr>
      <w:rFonts w:ascii="Times New Roman" w:hAnsi="Times New Roman"/>
      <w:sz w:val="24"/>
      <w:szCs w:val="24"/>
    </w:rPr>
  </w:style>
  <w:style w:type="paragraph" w:customStyle="1" w:styleId="pB">
    <w:name w:val="pB"/>
    <w:basedOn w:val="Normal"/>
    <w:uiPriority w:val="99"/>
    <w:rsid w:val="0011319A"/>
    <w:pPr>
      <w:tabs>
        <w:tab w:val="left" w:pos="720"/>
        <w:tab w:val="left" w:pos="1080"/>
      </w:tabs>
      <w:ind w:right="288"/>
    </w:pPr>
  </w:style>
  <w:style w:type="paragraph" w:customStyle="1" w:styleId="pF">
    <w:name w:val="pF"/>
    <w:uiPriority w:val="99"/>
    <w:rsid w:val="0011319A"/>
    <w:rPr>
      <w:rFonts w:ascii="Times New Roman" w:hAnsi="Times New Roman"/>
      <w:sz w:val="24"/>
      <w:szCs w:val="24"/>
    </w:rPr>
  </w:style>
  <w:style w:type="paragraph" w:customStyle="1" w:styleId="pS">
    <w:name w:val="pS"/>
    <w:uiPriority w:val="99"/>
    <w:rsid w:val="00D842FF"/>
    <w:pPr>
      <w:tabs>
        <w:tab w:val="left" w:pos="720"/>
        <w:tab w:val="left" w:pos="1080"/>
      </w:tabs>
      <w:ind w:right="288"/>
    </w:pPr>
    <w:rPr>
      <w:rFonts w:ascii="Times New Roman" w:hAnsi="Times New Roman"/>
      <w:sz w:val="24"/>
      <w:szCs w:val="24"/>
    </w:rPr>
  </w:style>
  <w:style w:type="paragraph" w:customStyle="1" w:styleId="pD">
    <w:name w:val="pD"/>
    <w:basedOn w:val="pF"/>
    <w:uiPriority w:val="99"/>
    <w:rsid w:val="00D842FF"/>
    <w:pPr>
      <w:tabs>
        <w:tab w:val="left" w:pos="1152"/>
      </w:tabs>
      <w:spacing w:before="60" w:line="280" w:lineRule="atLeast"/>
      <w:ind w:left="1152" w:right="288"/>
    </w:pPr>
  </w:style>
  <w:style w:type="paragraph" w:customStyle="1" w:styleId="pE">
    <w:name w:val="pE"/>
    <w:basedOn w:val="pD"/>
    <w:uiPriority w:val="99"/>
    <w:rsid w:val="00D842FF"/>
    <w:pPr>
      <w:tabs>
        <w:tab w:val="clear" w:pos="1152"/>
      </w:tabs>
      <w:spacing w:line="240" w:lineRule="atLeast"/>
      <w:ind w:left="1440" w:hanging="288"/>
    </w:pPr>
  </w:style>
  <w:style w:type="paragraph" w:styleId="Header">
    <w:name w:val="header"/>
    <w:basedOn w:val="pF"/>
    <w:link w:val="HeaderChar"/>
    <w:uiPriority w:val="99"/>
    <w:rsid w:val="009D0319"/>
    <w:pPr>
      <w:pBdr>
        <w:bottom w:val="single" w:sz="12" w:space="1" w:color="auto"/>
      </w:pBdr>
      <w:tabs>
        <w:tab w:val="right" w:pos="9000"/>
      </w:tabs>
      <w:spacing w:after="0"/>
      <w:ind w:left="0" w:firstLine="0"/>
      <w:jc w:val="center"/>
    </w:pPr>
    <w:rPr>
      <w:rFonts w:ascii="Tms Rmn" w:hAnsi="Tms Rmn"/>
      <w:i/>
      <w:iCs/>
    </w:rPr>
  </w:style>
  <w:style w:type="paragraph" w:styleId="Footer">
    <w:name w:val="footer"/>
    <w:basedOn w:val="Header"/>
    <w:link w:val="FooterChar"/>
    <w:uiPriority w:val="99"/>
    <w:rsid w:val="0047130C"/>
    <w:pPr>
      <w:pBdr>
        <w:top w:val="single" w:sz="12" w:space="1" w:color="auto"/>
        <w:bottom w:val="none" w:sz="0" w:space="0" w:color="auto"/>
      </w:pBdr>
      <w:tabs>
        <w:tab w:val="clear" w:pos="9000"/>
        <w:tab w:val="center" w:pos="4680"/>
        <w:tab w:val="right" w:pos="9360"/>
      </w:tabs>
      <w:jc w:val="left"/>
    </w:pPr>
  </w:style>
  <w:style w:type="character" w:styleId="FootnoteReference">
    <w:name w:val="footnote reference"/>
    <w:basedOn w:val="DefaultParagraphFont"/>
    <w:uiPriority w:val="99"/>
    <w:rsid w:val="00D842FF"/>
    <w:rPr>
      <w:position w:val="6"/>
      <w:sz w:val="16"/>
      <w:szCs w:val="16"/>
    </w:rPr>
  </w:style>
  <w:style w:type="paragraph" w:styleId="FootnoteText">
    <w:name w:val="footnote text"/>
    <w:basedOn w:val="Normal"/>
    <w:link w:val="FootnoteTextChar"/>
    <w:autoRedefine/>
    <w:uiPriority w:val="99"/>
    <w:rsid w:val="008646A2"/>
    <w:pPr>
      <w:tabs>
        <w:tab w:val="left" w:pos="288"/>
      </w:tabs>
      <w:spacing w:after="60" w:line="240" w:lineRule="atLeast"/>
      <w:ind w:left="288" w:hanging="288"/>
    </w:pPr>
    <w:rPr>
      <w:rFonts w:ascii="Tms Rmn" w:hAnsi="Tms Rmn"/>
      <w:sz w:val="20"/>
      <w:szCs w:val="20"/>
    </w:rPr>
  </w:style>
  <w:style w:type="paragraph" w:styleId="Index1">
    <w:name w:val="index 1"/>
    <w:basedOn w:val="Normal"/>
    <w:next w:val="Normal"/>
    <w:uiPriority w:val="99"/>
    <w:rsid w:val="00D842FF"/>
    <w:rPr>
      <w:rFonts w:ascii="Tms Rmn" w:hAnsi="Tms Rmn"/>
    </w:rPr>
  </w:style>
  <w:style w:type="paragraph" w:styleId="Index2">
    <w:name w:val="index 2"/>
    <w:basedOn w:val="Normal"/>
    <w:next w:val="Normal"/>
    <w:uiPriority w:val="99"/>
    <w:rsid w:val="00D842FF"/>
    <w:pPr>
      <w:ind w:left="360"/>
    </w:pPr>
    <w:rPr>
      <w:rFonts w:ascii="Tms Rmn" w:hAnsi="Tms Rmn"/>
    </w:rPr>
  </w:style>
  <w:style w:type="paragraph" w:styleId="Index3">
    <w:name w:val="index 3"/>
    <w:basedOn w:val="Normal"/>
    <w:next w:val="Normal"/>
    <w:uiPriority w:val="99"/>
    <w:rsid w:val="00D842FF"/>
    <w:rPr>
      <w:rFonts w:ascii="Tms Rmn" w:hAnsi="Tms Rmn"/>
    </w:rPr>
  </w:style>
  <w:style w:type="paragraph" w:styleId="Index4">
    <w:name w:val="index 4"/>
    <w:basedOn w:val="Normal"/>
    <w:next w:val="Normal"/>
    <w:uiPriority w:val="99"/>
    <w:rsid w:val="00D842FF"/>
    <w:rPr>
      <w:rFonts w:ascii="Tms Rmn" w:hAnsi="Tms Rmn"/>
    </w:rPr>
  </w:style>
  <w:style w:type="paragraph" w:styleId="Index5">
    <w:name w:val="index 5"/>
    <w:basedOn w:val="Normal"/>
    <w:next w:val="Normal"/>
    <w:uiPriority w:val="99"/>
    <w:rsid w:val="00D842FF"/>
    <w:pPr>
      <w:ind w:left="1440"/>
    </w:pPr>
    <w:rPr>
      <w:rFonts w:ascii="Tms Rmn" w:hAnsi="Tms Rmn"/>
    </w:rPr>
  </w:style>
  <w:style w:type="paragraph" w:styleId="Index6">
    <w:name w:val="index 6"/>
    <w:basedOn w:val="Normal"/>
    <w:next w:val="Normal"/>
    <w:uiPriority w:val="99"/>
    <w:rsid w:val="00D842FF"/>
    <w:pPr>
      <w:ind w:left="1800"/>
    </w:pPr>
    <w:rPr>
      <w:rFonts w:ascii="Tms Rmn" w:hAnsi="Tms Rmn"/>
    </w:rPr>
  </w:style>
  <w:style w:type="paragraph" w:styleId="Index7">
    <w:name w:val="index 7"/>
    <w:basedOn w:val="Normal"/>
    <w:next w:val="Normal"/>
    <w:uiPriority w:val="99"/>
    <w:rsid w:val="00D842FF"/>
    <w:pPr>
      <w:ind w:left="2160"/>
    </w:pPr>
    <w:rPr>
      <w:rFonts w:ascii="Tms Rmn" w:hAnsi="Tms Rmn"/>
    </w:rPr>
  </w:style>
  <w:style w:type="paragraph" w:styleId="IndexHeading">
    <w:name w:val="index heading"/>
    <w:basedOn w:val="Normal"/>
    <w:next w:val="Index1"/>
    <w:uiPriority w:val="99"/>
    <w:rsid w:val="00D842FF"/>
    <w:rPr>
      <w:rFonts w:ascii="Tms Rmn" w:hAnsi="Tms Rmn"/>
    </w:rPr>
  </w:style>
  <w:style w:type="character" w:styleId="LineNumber">
    <w:name w:val="line number"/>
    <w:basedOn w:val="DefaultParagraphFont"/>
    <w:uiPriority w:val="99"/>
    <w:rsid w:val="00D842FF"/>
  </w:style>
  <w:style w:type="paragraph" w:customStyle="1" w:styleId="pA">
    <w:name w:val="pA"/>
    <w:uiPriority w:val="99"/>
    <w:rsid w:val="0011319A"/>
    <w:pPr>
      <w:spacing w:line="130" w:lineRule="exact"/>
    </w:pPr>
    <w:rPr>
      <w:rFonts w:ascii="Times New Roman" w:hAnsi="Times New Roman"/>
      <w:sz w:val="24"/>
      <w:szCs w:val="24"/>
    </w:rPr>
  </w:style>
  <w:style w:type="paragraph" w:customStyle="1" w:styleId="pG">
    <w:name w:val="pG"/>
    <w:basedOn w:val="Normal"/>
    <w:uiPriority w:val="99"/>
    <w:rsid w:val="008E2E63"/>
    <w:pPr>
      <w:keepNext/>
      <w:spacing w:after="130"/>
      <w:ind w:left="720" w:hanging="432"/>
    </w:pPr>
    <w:rPr>
      <w:rFonts w:ascii="Arial" w:hAnsi="Arial" w:cs="Arial"/>
      <w:b/>
      <w:bCs/>
    </w:rPr>
  </w:style>
  <w:style w:type="paragraph" w:customStyle="1" w:styleId="pT">
    <w:name w:val="pT"/>
    <w:basedOn w:val="Normal"/>
    <w:uiPriority w:val="99"/>
    <w:rsid w:val="008E2E63"/>
    <w:pPr>
      <w:keepNext/>
      <w:spacing w:after="130"/>
      <w:ind w:left="720" w:hanging="432"/>
    </w:pPr>
    <w:rPr>
      <w:rFonts w:ascii="Arial" w:hAnsi="Arial" w:cs="Arial"/>
      <w:b/>
      <w:bCs/>
    </w:rPr>
  </w:style>
  <w:style w:type="paragraph" w:customStyle="1" w:styleId="pX">
    <w:name w:val="pX"/>
    <w:basedOn w:val="pF"/>
    <w:uiPriority w:val="99"/>
    <w:rsid w:val="00D842FF"/>
    <w:pPr>
      <w:spacing w:line="240" w:lineRule="atLeast"/>
    </w:pPr>
  </w:style>
  <w:style w:type="paragraph" w:customStyle="1" w:styleId="TitlePage">
    <w:name w:val="Title Page"/>
    <w:basedOn w:val="Normal"/>
    <w:uiPriority w:val="99"/>
    <w:rsid w:val="008E2E63"/>
    <w:pPr>
      <w:spacing w:after="130"/>
      <w:ind w:left="1440" w:right="1440" w:hanging="432"/>
      <w:jc w:val="center"/>
    </w:pPr>
    <w:rPr>
      <w:rFonts w:ascii="Arial" w:hAnsi="Arial" w:cs="Arial"/>
      <w:b/>
      <w:bCs/>
      <w:sz w:val="36"/>
      <w:szCs w:val="36"/>
    </w:rPr>
  </w:style>
  <w:style w:type="paragraph" w:styleId="TOC1">
    <w:name w:val="toc 1"/>
    <w:basedOn w:val="pF"/>
    <w:next w:val="Normal"/>
    <w:uiPriority w:val="99"/>
    <w:rsid w:val="00E37D92"/>
    <w:pPr>
      <w:tabs>
        <w:tab w:val="right" w:leader="dot" w:pos="9000"/>
      </w:tabs>
      <w:spacing w:before="120" w:line="240" w:lineRule="auto"/>
      <w:ind w:left="0" w:right="360" w:firstLine="0"/>
    </w:pPr>
    <w:rPr>
      <w:rFonts w:ascii="Arial" w:hAnsi="Arial" w:cs="Arial"/>
      <w:b/>
      <w:bCs/>
    </w:rPr>
  </w:style>
  <w:style w:type="paragraph" w:styleId="TOC2">
    <w:name w:val="toc 2"/>
    <w:basedOn w:val="TOC1"/>
    <w:next w:val="Normal"/>
    <w:uiPriority w:val="99"/>
    <w:rsid w:val="00E37D92"/>
    <w:pPr>
      <w:spacing w:before="0" w:after="0"/>
      <w:ind w:left="864" w:right="720" w:hanging="432"/>
    </w:pPr>
    <w:rPr>
      <w:b w:val="0"/>
      <w:bCs w:val="0"/>
    </w:rPr>
  </w:style>
  <w:style w:type="paragraph" w:styleId="TOC3">
    <w:name w:val="toc 3"/>
    <w:basedOn w:val="TOC1"/>
    <w:uiPriority w:val="99"/>
    <w:rsid w:val="00E37D92"/>
    <w:pPr>
      <w:spacing w:before="0" w:after="0"/>
      <w:ind w:left="1296" w:right="720" w:hanging="432"/>
    </w:pPr>
    <w:rPr>
      <w:b w:val="0"/>
      <w:bCs w:val="0"/>
      <w:i/>
      <w:iCs/>
      <w:sz w:val="20"/>
      <w:szCs w:val="20"/>
    </w:rPr>
  </w:style>
  <w:style w:type="paragraph" w:styleId="TOC4">
    <w:name w:val="toc 4"/>
    <w:basedOn w:val="TOC1"/>
    <w:uiPriority w:val="99"/>
    <w:rsid w:val="00D842FF"/>
    <w:pPr>
      <w:spacing w:before="0" w:after="0"/>
    </w:pPr>
    <w:rPr>
      <w:rFonts w:cs="Times New Roman"/>
      <w:b w:val="0"/>
      <w:bCs w:val="0"/>
      <w:sz w:val="20"/>
      <w:szCs w:val="20"/>
    </w:rPr>
  </w:style>
  <w:style w:type="paragraph" w:styleId="TOC5">
    <w:name w:val="toc 5"/>
    <w:basedOn w:val="TOC4"/>
    <w:next w:val="Normal"/>
    <w:uiPriority w:val="99"/>
    <w:rsid w:val="00D842FF"/>
  </w:style>
  <w:style w:type="paragraph" w:styleId="EnvelopeAddress">
    <w:name w:val="envelope address"/>
    <w:basedOn w:val="Normal"/>
    <w:uiPriority w:val="99"/>
    <w:rsid w:val="00D842FF"/>
    <w:pPr>
      <w:framePr w:w="7920" w:h="1980" w:hRule="exact" w:hSpace="180" w:wrap="auto" w:hAnchor="page" w:xAlign="center" w:yAlign="bottom"/>
      <w:ind w:left="2880"/>
    </w:pPr>
    <w:rPr>
      <w:rFonts w:ascii="Arial Narrow" w:hAnsi="Arial Narrow"/>
      <w:smallCaps/>
    </w:rPr>
  </w:style>
  <w:style w:type="paragraph" w:customStyle="1" w:styleId="Large">
    <w:name w:val="Large"/>
    <w:basedOn w:val="pF"/>
    <w:next w:val="pF"/>
    <w:uiPriority w:val="99"/>
    <w:rsid w:val="00D842FF"/>
    <w:pPr>
      <w:keepNext/>
      <w:spacing w:before="480" w:after="360" w:line="720" w:lineRule="exact"/>
    </w:pPr>
    <w:rPr>
      <w:rFonts w:ascii="Arial" w:hAnsi="Arial" w:cs="Arial"/>
      <w:b/>
      <w:bCs/>
      <w:i/>
      <w:iCs/>
      <w:sz w:val="72"/>
      <w:szCs w:val="72"/>
    </w:rPr>
  </w:style>
  <w:style w:type="paragraph" w:styleId="ListBullet">
    <w:name w:val="List Bullet"/>
    <w:basedOn w:val="Normal"/>
    <w:uiPriority w:val="99"/>
    <w:rsid w:val="00D842FF"/>
    <w:pPr>
      <w:ind w:left="360"/>
    </w:pPr>
  </w:style>
  <w:style w:type="paragraph" w:customStyle="1" w:styleId="pA2">
    <w:name w:val="pA2"/>
    <w:basedOn w:val="pA"/>
    <w:next w:val="pA"/>
    <w:uiPriority w:val="99"/>
    <w:rsid w:val="0011319A"/>
  </w:style>
  <w:style w:type="paragraph" w:styleId="Caption">
    <w:name w:val="caption"/>
    <w:basedOn w:val="Normal"/>
    <w:next w:val="Normal"/>
    <w:autoRedefine/>
    <w:uiPriority w:val="99"/>
    <w:qFormat/>
    <w:rsid w:val="009D0319"/>
    <w:pPr>
      <w:keepNext/>
      <w:keepLines/>
      <w:spacing w:before="120" w:after="120"/>
      <w:jc w:val="left"/>
    </w:pPr>
    <w:rPr>
      <w:rFonts w:ascii="Arial" w:hAnsi="Arial" w:cs="Arial"/>
      <w:b/>
      <w:bCs/>
    </w:rPr>
  </w:style>
  <w:style w:type="paragraph" w:customStyle="1" w:styleId="resumeparagraph">
    <w:name w:val="resume paragraph"/>
    <w:uiPriority w:val="99"/>
    <w:rsid w:val="00D842FF"/>
    <w:pPr>
      <w:spacing w:before="100" w:line="240" w:lineRule="exact"/>
      <w:ind w:hanging="288"/>
    </w:pPr>
    <w:rPr>
      <w:rFonts w:ascii="Times New Roman" w:hAnsi="Times New Roman"/>
      <w:sz w:val="24"/>
      <w:szCs w:val="24"/>
    </w:rPr>
  </w:style>
  <w:style w:type="paragraph" w:customStyle="1" w:styleId="Headline">
    <w:name w:val="Headline"/>
    <w:basedOn w:val="Normal"/>
    <w:uiPriority w:val="99"/>
    <w:rsid w:val="00D842FF"/>
    <w:pPr>
      <w:spacing w:line="240" w:lineRule="auto"/>
    </w:pPr>
    <w:rPr>
      <w:b/>
      <w:bCs/>
      <w:sz w:val="36"/>
      <w:szCs w:val="36"/>
    </w:rPr>
  </w:style>
  <w:style w:type="paragraph" w:customStyle="1" w:styleId="projtitle">
    <w:name w:val="projtitle"/>
    <w:basedOn w:val="Normal"/>
    <w:next w:val="For"/>
    <w:uiPriority w:val="99"/>
    <w:rsid w:val="00D842FF"/>
    <w:pPr>
      <w:keepNext/>
      <w:keepLines/>
      <w:tabs>
        <w:tab w:val="left" w:pos="720"/>
        <w:tab w:val="left" w:pos="1080"/>
      </w:tabs>
      <w:spacing w:line="280" w:lineRule="exact"/>
      <w:ind w:left="288" w:right="288"/>
    </w:pPr>
    <w:rPr>
      <w:b/>
      <w:bCs/>
      <w:i/>
      <w:iCs/>
    </w:rPr>
  </w:style>
  <w:style w:type="paragraph" w:customStyle="1" w:styleId="summary">
    <w:name w:val="summary"/>
    <w:basedOn w:val="pB"/>
    <w:next w:val="projtitle"/>
    <w:uiPriority w:val="99"/>
    <w:rsid w:val="00D842FF"/>
    <w:pPr>
      <w:tabs>
        <w:tab w:val="clear" w:pos="720"/>
        <w:tab w:val="clear" w:pos="1080"/>
        <w:tab w:val="left" w:pos="-1170"/>
      </w:tabs>
      <w:spacing w:after="240"/>
    </w:pPr>
  </w:style>
  <w:style w:type="paragraph" w:customStyle="1" w:styleId="For">
    <w:name w:val="For"/>
    <w:basedOn w:val="Normal"/>
    <w:next w:val="Contact"/>
    <w:uiPriority w:val="99"/>
    <w:rsid w:val="00D842FF"/>
    <w:pPr>
      <w:keepNext/>
      <w:keepLines/>
      <w:tabs>
        <w:tab w:val="left" w:pos="720"/>
        <w:tab w:val="left" w:pos="1080"/>
      </w:tabs>
      <w:spacing w:line="280" w:lineRule="exact"/>
      <w:ind w:left="1152" w:right="288"/>
    </w:pPr>
  </w:style>
  <w:style w:type="paragraph" w:customStyle="1" w:styleId="Contact">
    <w:name w:val="Contact"/>
    <w:basedOn w:val="Normal"/>
    <w:next w:val="summary"/>
    <w:uiPriority w:val="99"/>
    <w:rsid w:val="00D842FF"/>
    <w:pPr>
      <w:keepNext/>
      <w:keepLines/>
      <w:tabs>
        <w:tab w:val="left" w:pos="720"/>
        <w:tab w:val="left" w:pos="1080"/>
      </w:tabs>
      <w:spacing w:line="280" w:lineRule="exact"/>
      <w:ind w:left="1152" w:right="288"/>
    </w:pPr>
  </w:style>
  <w:style w:type="paragraph" w:customStyle="1" w:styleId="question">
    <w:name w:val="question"/>
    <w:basedOn w:val="pF"/>
    <w:uiPriority w:val="99"/>
    <w:rsid w:val="00D842FF"/>
    <w:pPr>
      <w:ind w:hanging="720"/>
    </w:pPr>
  </w:style>
  <w:style w:type="paragraph" w:styleId="TOC6">
    <w:name w:val="toc 6"/>
    <w:basedOn w:val="Normal"/>
    <w:next w:val="Normal"/>
    <w:uiPriority w:val="99"/>
    <w:rsid w:val="00D842FF"/>
    <w:pPr>
      <w:tabs>
        <w:tab w:val="right" w:leader="dot" w:pos="9000"/>
      </w:tabs>
      <w:spacing w:line="240" w:lineRule="auto"/>
      <w:ind w:left="1200"/>
    </w:pPr>
  </w:style>
  <w:style w:type="paragraph" w:customStyle="1" w:styleId="Variabledefinition">
    <w:name w:val="Variable definition"/>
    <w:basedOn w:val="pD"/>
    <w:uiPriority w:val="99"/>
    <w:rsid w:val="00D842FF"/>
    <w:pPr>
      <w:tabs>
        <w:tab w:val="left" w:pos="720"/>
        <w:tab w:val="left" w:pos="1440"/>
        <w:tab w:val="left" w:pos="2160"/>
      </w:tabs>
      <w:ind w:left="2520" w:hanging="1800"/>
    </w:pPr>
    <w:rPr>
      <w:i/>
      <w:iCs/>
    </w:rPr>
  </w:style>
  <w:style w:type="paragraph" w:customStyle="1" w:styleId="tablefootnote">
    <w:name w:val="table footnote"/>
    <w:basedOn w:val="Normal"/>
    <w:link w:val="tablefootnoteChar"/>
    <w:uiPriority w:val="99"/>
    <w:rsid w:val="008E2E63"/>
    <w:pPr>
      <w:keepNext/>
      <w:keepLines/>
      <w:tabs>
        <w:tab w:val="left" w:pos="274"/>
      </w:tabs>
      <w:spacing w:before="60" w:after="0" w:line="240" w:lineRule="auto"/>
      <w:ind w:left="274" w:hanging="274"/>
    </w:pPr>
    <w:rPr>
      <w:sz w:val="20"/>
      <w:szCs w:val="20"/>
    </w:rPr>
  </w:style>
  <w:style w:type="paragraph" w:styleId="TableofFigures">
    <w:name w:val="table of figures"/>
    <w:basedOn w:val="Normal"/>
    <w:next w:val="Normal"/>
    <w:uiPriority w:val="99"/>
    <w:rsid w:val="00F70106"/>
    <w:pPr>
      <w:tabs>
        <w:tab w:val="right" w:leader="dot" w:pos="9000"/>
      </w:tabs>
      <w:spacing w:before="120" w:after="130" w:line="240" w:lineRule="auto"/>
      <w:ind w:left="475" w:right="720" w:hanging="475"/>
    </w:pPr>
    <w:rPr>
      <w:rFonts w:ascii="Arial" w:hAnsi="Arial" w:cs="Arial"/>
    </w:rPr>
  </w:style>
  <w:style w:type="paragraph" w:styleId="BalloonText">
    <w:name w:val="Balloon Text"/>
    <w:basedOn w:val="Normal"/>
    <w:link w:val="BalloonTextChar"/>
    <w:uiPriority w:val="99"/>
    <w:rsid w:val="00D842FF"/>
    <w:rPr>
      <w:rFonts w:ascii="Tahoma" w:hAnsi="Tahoma" w:cs="Tahoma"/>
      <w:sz w:val="16"/>
      <w:szCs w:val="16"/>
    </w:rPr>
  </w:style>
  <w:style w:type="character" w:styleId="CommentReference">
    <w:name w:val="annotation reference"/>
    <w:basedOn w:val="DefaultParagraphFont"/>
    <w:uiPriority w:val="99"/>
    <w:rsid w:val="00D842FF"/>
    <w:rPr>
      <w:sz w:val="16"/>
    </w:rPr>
  </w:style>
  <w:style w:type="paragraph" w:styleId="CommentText">
    <w:name w:val="annotation text"/>
    <w:basedOn w:val="Normal"/>
    <w:link w:val="CommentTextChar"/>
    <w:uiPriority w:val="99"/>
    <w:rsid w:val="00D842FF"/>
    <w:rPr>
      <w:sz w:val="20"/>
      <w:szCs w:val="20"/>
    </w:rPr>
  </w:style>
  <w:style w:type="paragraph" w:styleId="CommentSubject">
    <w:name w:val="annotation subject"/>
    <w:basedOn w:val="CommentText"/>
    <w:next w:val="CommentText"/>
    <w:link w:val="CommentSubjectChar"/>
    <w:uiPriority w:val="99"/>
    <w:rsid w:val="00D842FF"/>
    <w:rPr>
      <w:b/>
      <w:bCs/>
    </w:rPr>
  </w:style>
  <w:style w:type="paragraph" w:styleId="DocumentMap">
    <w:name w:val="Document Map"/>
    <w:basedOn w:val="Normal"/>
    <w:link w:val="DocumentMapChar"/>
    <w:uiPriority w:val="99"/>
    <w:rsid w:val="00D842FF"/>
    <w:pPr>
      <w:shd w:val="clear" w:color="auto" w:fill="000080"/>
    </w:pPr>
    <w:rPr>
      <w:rFonts w:ascii="Tahoma" w:hAnsi="Tahoma" w:cs="Tahoma"/>
    </w:rPr>
  </w:style>
  <w:style w:type="character" w:styleId="PageNumber">
    <w:name w:val="page number"/>
    <w:basedOn w:val="DefaultParagraphFont"/>
    <w:uiPriority w:val="99"/>
    <w:rsid w:val="00D842FF"/>
  </w:style>
  <w:style w:type="table" w:styleId="TableGrid">
    <w:name w:val="Table Grid"/>
    <w:basedOn w:val="TableNormal"/>
    <w:uiPriority w:val="99"/>
    <w:rsid w:val="00D842F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TitleSub"/>
    <w:link w:val="TitleChar"/>
    <w:uiPriority w:val="99"/>
    <w:qFormat/>
    <w:rsid w:val="00E251FF"/>
    <w:pPr>
      <w:spacing w:after="0" w:line="240" w:lineRule="auto"/>
      <w:contextualSpacing/>
      <w:jc w:val="right"/>
    </w:pPr>
    <w:rPr>
      <w:rFonts w:ascii="Arial" w:hAnsi="Arial"/>
      <w:b/>
      <w:color w:val="17365D"/>
      <w:spacing w:val="5"/>
      <w:kern w:val="28"/>
      <w:sz w:val="40"/>
      <w:szCs w:val="52"/>
    </w:rPr>
  </w:style>
  <w:style w:type="character" w:styleId="Hyperlink">
    <w:name w:val="Hyperlink"/>
    <w:basedOn w:val="DefaultParagraphFont"/>
    <w:uiPriority w:val="99"/>
    <w:rsid w:val="00D842FF"/>
    <w:rPr>
      <w:color w:val="0000FF"/>
      <w:u w:val="single"/>
    </w:rPr>
  </w:style>
  <w:style w:type="paragraph" w:customStyle="1" w:styleId="CEUSIndent5">
    <w:name w:val="CEUS_Indent5"/>
    <w:basedOn w:val="pE"/>
    <w:uiPriority w:val="99"/>
    <w:rsid w:val="00D842FF"/>
    <w:pPr>
      <w:ind w:left="2070" w:hanging="432"/>
    </w:pPr>
    <w:rPr>
      <w:szCs w:val="20"/>
    </w:rPr>
  </w:style>
  <w:style w:type="paragraph" w:styleId="ListBullet2">
    <w:name w:val="List Bullet 2"/>
    <w:basedOn w:val="Normal"/>
    <w:uiPriority w:val="99"/>
    <w:rsid w:val="00D842FF"/>
    <w:pPr>
      <w:numPr>
        <w:numId w:val="35"/>
      </w:numPr>
      <w:contextualSpacing/>
    </w:pPr>
  </w:style>
  <w:style w:type="numbering" w:customStyle="1" w:styleId="Itron">
    <w:name w:val="Itron"/>
    <w:rsid w:val="008F6F18"/>
    <w:pPr>
      <w:numPr>
        <w:numId w:val="10"/>
      </w:numPr>
    </w:pPr>
  </w:style>
  <w:style w:type="numbering" w:customStyle="1" w:styleId="CnAListBullets">
    <w:name w:val="CnAListBullets"/>
    <w:rsid w:val="00D842FF"/>
    <w:pPr>
      <w:numPr>
        <w:numId w:val="11"/>
      </w:numPr>
    </w:pPr>
  </w:style>
  <w:style w:type="paragraph" w:styleId="ListParagraph">
    <w:name w:val="List Paragraph"/>
    <w:basedOn w:val="Normal"/>
    <w:uiPriority w:val="99"/>
    <w:qFormat/>
    <w:rsid w:val="00D842FF"/>
    <w:pPr>
      <w:spacing w:after="80"/>
    </w:pPr>
  </w:style>
  <w:style w:type="paragraph" w:customStyle="1" w:styleId="CoverTitle">
    <w:name w:val="CoverTitle"/>
    <w:basedOn w:val="Normal"/>
    <w:link w:val="CoverTitleChar"/>
    <w:uiPriority w:val="99"/>
    <w:qFormat/>
    <w:rsid w:val="00D842FF"/>
    <w:pPr>
      <w:spacing w:after="120"/>
      <w:jc w:val="center"/>
    </w:pPr>
    <w:rPr>
      <w:rFonts w:ascii="Arial" w:hAnsi="Arial"/>
      <w:b/>
      <w:sz w:val="40"/>
    </w:rPr>
  </w:style>
  <w:style w:type="character" w:customStyle="1" w:styleId="CoverTitleChar">
    <w:name w:val="CoverTitle Char"/>
    <w:basedOn w:val="DefaultParagraphFont"/>
    <w:link w:val="CoverTitle"/>
    <w:uiPriority w:val="99"/>
    <w:rsid w:val="00D842FF"/>
    <w:rPr>
      <w:rFonts w:ascii="Arial" w:hAnsi="Arial"/>
      <w:b/>
      <w:sz w:val="40"/>
      <w:szCs w:val="24"/>
    </w:rPr>
  </w:style>
  <w:style w:type="paragraph" w:customStyle="1" w:styleId="CoverNormal">
    <w:name w:val="CoverNormal"/>
    <w:basedOn w:val="Normal"/>
    <w:link w:val="CoverNormalChar"/>
    <w:uiPriority w:val="99"/>
    <w:qFormat/>
    <w:rsid w:val="00D842FF"/>
    <w:pPr>
      <w:contextualSpacing/>
      <w:jc w:val="center"/>
    </w:pPr>
    <w:rPr>
      <w:rFonts w:ascii="Arial" w:hAnsi="Arial"/>
    </w:rPr>
  </w:style>
  <w:style w:type="character" w:customStyle="1" w:styleId="CoverNormalChar">
    <w:name w:val="CoverNormal Char"/>
    <w:basedOn w:val="DefaultParagraphFont"/>
    <w:link w:val="CoverNormal"/>
    <w:uiPriority w:val="99"/>
    <w:rsid w:val="00D842FF"/>
    <w:rPr>
      <w:rFonts w:ascii="Arial" w:hAnsi="Arial"/>
      <w:sz w:val="24"/>
      <w:szCs w:val="24"/>
    </w:rPr>
  </w:style>
  <w:style w:type="paragraph" w:customStyle="1" w:styleId="Halfline">
    <w:name w:val="Halfline"/>
    <w:basedOn w:val="Normal"/>
    <w:next w:val="Normal"/>
    <w:link w:val="HalflineChar"/>
    <w:uiPriority w:val="99"/>
    <w:qFormat/>
    <w:rsid w:val="00DE632E"/>
    <w:pPr>
      <w:spacing w:after="130" w:line="130" w:lineRule="exact"/>
      <w:jc w:val="left"/>
    </w:pPr>
  </w:style>
  <w:style w:type="character" w:customStyle="1" w:styleId="HalflineChar">
    <w:name w:val="Halfline Char"/>
    <w:basedOn w:val="DefaultParagraphFont"/>
    <w:link w:val="Halfline"/>
    <w:uiPriority w:val="99"/>
    <w:rsid w:val="00DE632E"/>
    <w:rPr>
      <w:rFonts w:ascii="Times New Roman" w:hAnsi="Times New Roman"/>
      <w:sz w:val="24"/>
      <w:szCs w:val="24"/>
    </w:rPr>
  </w:style>
  <w:style w:type="paragraph" w:customStyle="1" w:styleId="LetterheadParagraph">
    <w:name w:val="Letterhead Paragraph"/>
    <w:basedOn w:val="Normal"/>
    <w:uiPriority w:val="99"/>
    <w:qFormat/>
    <w:rsid w:val="00573DEC"/>
    <w:pPr>
      <w:spacing w:after="0"/>
    </w:pPr>
    <w:rPr>
      <w:rFonts w:ascii="Arial Narrow" w:hAnsi="Arial Narrow"/>
    </w:rPr>
  </w:style>
  <w:style w:type="character" w:customStyle="1" w:styleId="FootnoteTextChar">
    <w:name w:val="Footnote Text Char"/>
    <w:basedOn w:val="DefaultParagraphFont"/>
    <w:link w:val="FootnoteText"/>
    <w:uiPriority w:val="99"/>
    <w:rsid w:val="008646A2"/>
    <w:rPr>
      <w:rFonts w:ascii="Tms Rmn" w:eastAsia="Times New Roman" w:hAnsi="Tms Rmn"/>
    </w:rPr>
  </w:style>
  <w:style w:type="character" w:customStyle="1" w:styleId="tablefootnoteChar">
    <w:name w:val="table footnote Char"/>
    <w:basedOn w:val="DefaultParagraphFont"/>
    <w:link w:val="tablefootnote"/>
    <w:uiPriority w:val="99"/>
    <w:rsid w:val="009D0319"/>
    <w:rPr>
      <w:rFonts w:ascii="Times New Roman" w:hAnsi="Times New Roman"/>
    </w:rPr>
  </w:style>
  <w:style w:type="paragraph" w:customStyle="1" w:styleId="TitleSub">
    <w:name w:val="TitleSub"/>
    <w:basedOn w:val="Title"/>
    <w:link w:val="TitleSubChar"/>
    <w:autoRedefine/>
    <w:uiPriority w:val="99"/>
    <w:qFormat/>
    <w:rsid w:val="00682A57"/>
    <w:rPr>
      <w:b w:val="0"/>
      <w:sz w:val="32"/>
    </w:rPr>
  </w:style>
  <w:style w:type="character" w:customStyle="1" w:styleId="TitleSubChar">
    <w:name w:val="TitleSub Char"/>
    <w:basedOn w:val="TitleChar"/>
    <w:link w:val="TitleSub"/>
    <w:uiPriority w:val="99"/>
    <w:rsid w:val="00682A57"/>
    <w:rPr>
      <w:sz w:val="32"/>
    </w:rPr>
  </w:style>
  <w:style w:type="character" w:customStyle="1" w:styleId="TitleChar">
    <w:name w:val="Title Char"/>
    <w:basedOn w:val="DefaultParagraphFont"/>
    <w:link w:val="Title"/>
    <w:uiPriority w:val="99"/>
    <w:rsid w:val="00E251FF"/>
    <w:rPr>
      <w:rFonts w:ascii="Arial" w:hAnsi="Arial"/>
      <w:b/>
      <w:color w:val="17365D"/>
      <w:spacing w:val="5"/>
      <w:kern w:val="28"/>
      <w:sz w:val="40"/>
      <w:szCs w:val="52"/>
    </w:rPr>
  </w:style>
  <w:style w:type="paragraph" w:customStyle="1" w:styleId="TitleAdd">
    <w:name w:val="TitleAdd"/>
    <w:basedOn w:val="Title"/>
    <w:link w:val="TitleAddChar"/>
    <w:autoRedefine/>
    <w:uiPriority w:val="99"/>
    <w:qFormat/>
    <w:rsid w:val="00682A57"/>
    <w:rPr>
      <w:b w:val="0"/>
      <w:sz w:val="24"/>
      <w:szCs w:val="32"/>
    </w:rPr>
  </w:style>
  <w:style w:type="character" w:customStyle="1" w:styleId="TitleAddChar">
    <w:name w:val="TitleAdd Char"/>
    <w:basedOn w:val="TitleChar"/>
    <w:link w:val="TitleAdd"/>
    <w:uiPriority w:val="99"/>
    <w:rsid w:val="00682A57"/>
    <w:rPr>
      <w:sz w:val="24"/>
      <w:szCs w:val="32"/>
    </w:rPr>
  </w:style>
  <w:style w:type="character" w:customStyle="1" w:styleId="Heading1Char">
    <w:name w:val="Heading 1 Char"/>
    <w:basedOn w:val="DefaultParagraphFont"/>
    <w:link w:val="Heading1"/>
    <w:uiPriority w:val="9"/>
    <w:locked/>
    <w:rsid w:val="009166AD"/>
    <w:rPr>
      <w:rFonts w:ascii="Arial" w:hAnsi="Arial" w:cs="Arial"/>
      <w:b/>
      <w:bCs/>
      <w:sz w:val="36"/>
      <w:szCs w:val="36"/>
    </w:rPr>
  </w:style>
  <w:style w:type="character" w:customStyle="1" w:styleId="Heading2Char">
    <w:name w:val="Heading 2 Char"/>
    <w:basedOn w:val="DefaultParagraphFont"/>
    <w:link w:val="Heading2"/>
    <w:uiPriority w:val="99"/>
    <w:locked/>
    <w:rsid w:val="009166AD"/>
    <w:rPr>
      <w:rFonts w:ascii="Arial" w:hAnsi="Arial" w:cs="Arial"/>
      <w:b/>
      <w:bCs/>
      <w:sz w:val="28"/>
      <w:szCs w:val="28"/>
    </w:rPr>
  </w:style>
  <w:style w:type="character" w:customStyle="1" w:styleId="Heading3Char">
    <w:name w:val="Heading 3 Char"/>
    <w:basedOn w:val="DefaultParagraphFont"/>
    <w:link w:val="Heading3"/>
    <w:uiPriority w:val="99"/>
    <w:locked/>
    <w:rsid w:val="009166AD"/>
    <w:rPr>
      <w:rFonts w:ascii="Arial" w:hAnsi="Arial" w:cs="Arial"/>
      <w:b/>
      <w:bCs/>
      <w:i/>
      <w:iCs/>
      <w:sz w:val="24"/>
      <w:szCs w:val="24"/>
    </w:rPr>
  </w:style>
  <w:style w:type="character" w:customStyle="1" w:styleId="Heading4Char">
    <w:name w:val="Heading 4 Char"/>
    <w:basedOn w:val="DefaultParagraphFont"/>
    <w:link w:val="Heading4"/>
    <w:uiPriority w:val="99"/>
    <w:locked/>
    <w:rsid w:val="009166AD"/>
    <w:rPr>
      <w:rFonts w:ascii="Times New Roman" w:hAnsi="Times New Roman"/>
      <w:b/>
      <w:i/>
      <w:iCs/>
      <w:sz w:val="24"/>
      <w:szCs w:val="24"/>
      <w:u w:val="single"/>
    </w:rPr>
  </w:style>
  <w:style w:type="character" w:customStyle="1" w:styleId="Heading5Char">
    <w:name w:val="Heading 5 Char"/>
    <w:basedOn w:val="DefaultParagraphFont"/>
    <w:link w:val="Heading5"/>
    <w:uiPriority w:val="99"/>
    <w:locked/>
    <w:rsid w:val="009166AD"/>
    <w:rPr>
      <w:rFonts w:ascii="Times New Roman" w:hAnsi="Times New Roman" w:cs="Arial"/>
      <w:bCs/>
      <w:i/>
      <w:sz w:val="24"/>
      <w:szCs w:val="24"/>
      <w:u w:val="single"/>
    </w:rPr>
  </w:style>
  <w:style w:type="character" w:customStyle="1" w:styleId="Heading6Char">
    <w:name w:val="Heading 6 Char"/>
    <w:basedOn w:val="DefaultParagraphFont"/>
    <w:link w:val="Heading6"/>
    <w:uiPriority w:val="99"/>
    <w:locked/>
    <w:rsid w:val="009166AD"/>
    <w:rPr>
      <w:rFonts w:ascii="Times New Roman" w:hAnsi="Times New Roman" w:cs="Arial"/>
      <w:b/>
      <w:bCs/>
      <w:sz w:val="24"/>
      <w:szCs w:val="24"/>
    </w:rPr>
  </w:style>
  <w:style w:type="character" w:customStyle="1" w:styleId="Heading7Char">
    <w:name w:val="Heading 7 Char"/>
    <w:basedOn w:val="DefaultParagraphFont"/>
    <w:link w:val="Heading7"/>
    <w:uiPriority w:val="99"/>
    <w:locked/>
    <w:rsid w:val="009166AD"/>
    <w:rPr>
      <w:rFonts w:ascii="Arial" w:hAnsi="Arial" w:cs="Arial"/>
      <w:b/>
      <w:bCs/>
      <w:sz w:val="36"/>
      <w:szCs w:val="36"/>
    </w:rPr>
  </w:style>
  <w:style w:type="character" w:customStyle="1" w:styleId="Heading8Char">
    <w:name w:val="Heading 8 Char"/>
    <w:basedOn w:val="DefaultParagraphFont"/>
    <w:link w:val="Heading8"/>
    <w:uiPriority w:val="99"/>
    <w:locked/>
    <w:rsid w:val="009166AD"/>
    <w:rPr>
      <w:i/>
      <w:iCs/>
    </w:rPr>
  </w:style>
  <w:style w:type="character" w:customStyle="1" w:styleId="Heading9Char">
    <w:name w:val="Heading 9 Char"/>
    <w:basedOn w:val="DefaultParagraphFont"/>
    <w:link w:val="Heading9"/>
    <w:uiPriority w:val="99"/>
    <w:locked/>
    <w:rsid w:val="009166AD"/>
    <w:rPr>
      <w:i/>
      <w:iCs/>
    </w:rPr>
  </w:style>
  <w:style w:type="character" w:customStyle="1" w:styleId="HeaderChar">
    <w:name w:val="Header Char"/>
    <w:basedOn w:val="DefaultParagraphFont"/>
    <w:link w:val="Header"/>
    <w:uiPriority w:val="99"/>
    <w:locked/>
    <w:rsid w:val="009166AD"/>
    <w:rPr>
      <w:i/>
      <w:iCs/>
      <w:sz w:val="24"/>
      <w:szCs w:val="24"/>
    </w:rPr>
  </w:style>
  <w:style w:type="character" w:customStyle="1" w:styleId="FooterChar">
    <w:name w:val="Footer Char"/>
    <w:basedOn w:val="DefaultParagraphFont"/>
    <w:link w:val="Footer"/>
    <w:uiPriority w:val="99"/>
    <w:locked/>
    <w:rsid w:val="009166AD"/>
    <w:rPr>
      <w:i/>
      <w:iCs/>
      <w:sz w:val="24"/>
      <w:szCs w:val="24"/>
    </w:rPr>
  </w:style>
  <w:style w:type="character" w:customStyle="1" w:styleId="BalloonTextChar">
    <w:name w:val="Balloon Text Char"/>
    <w:basedOn w:val="DefaultParagraphFont"/>
    <w:link w:val="BalloonText"/>
    <w:uiPriority w:val="99"/>
    <w:locked/>
    <w:rsid w:val="009166AD"/>
    <w:rPr>
      <w:rFonts w:ascii="Tahoma" w:hAnsi="Tahoma" w:cs="Tahoma"/>
      <w:sz w:val="16"/>
      <w:szCs w:val="16"/>
    </w:rPr>
  </w:style>
  <w:style w:type="character" w:customStyle="1" w:styleId="CommentTextChar">
    <w:name w:val="Comment Text Char"/>
    <w:basedOn w:val="DefaultParagraphFont"/>
    <w:link w:val="CommentText"/>
    <w:uiPriority w:val="99"/>
    <w:locked/>
    <w:rsid w:val="009166AD"/>
    <w:rPr>
      <w:rFonts w:ascii="Times New Roman" w:hAnsi="Times New Roman"/>
    </w:rPr>
  </w:style>
  <w:style w:type="character" w:customStyle="1" w:styleId="CommentSubjectChar">
    <w:name w:val="Comment Subject Char"/>
    <w:basedOn w:val="CommentTextChar"/>
    <w:link w:val="CommentSubject"/>
    <w:uiPriority w:val="99"/>
    <w:locked/>
    <w:rsid w:val="009166AD"/>
    <w:rPr>
      <w:b/>
      <w:bCs/>
    </w:rPr>
  </w:style>
  <w:style w:type="character" w:customStyle="1" w:styleId="DocumentMapChar">
    <w:name w:val="Document Map Char"/>
    <w:basedOn w:val="DefaultParagraphFont"/>
    <w:link w:val="DocumentMap"/>
    <w:uiPriority w:val="99"/>
    <w:locked/>
    <w:rsid w:val="009166AD"/>
    <w:rPr>
      <w:rFonts w:ascii="Tahoma" w:hAnsi="Tahoma" w:cs="Tahoma"/>
      <w:sz w:val="24"/>
      <w:szCs w:val="24"/>
      <w:shd w:val="clear" w:color="auto" w:fill="000080"/>
    </w:rPr>
  </w:style>
  <w:style w:type="character" w:styleId="PlaceholderText">
    <w:name w:val="Placeholder Text"/>
    <w:basedOn w:val="DefaultParagraphFont"/>
    <w:uiPriority w:val="99"/>
    <w:semiHidden/>
    <w:rsid w:val="009166AD"/>
    <w:rPr>
      <w:rFonts w:cs="Times New Roman"/>
      <w:color w:val="808080"/>
    </w:rPr>
  </w:style>
  <w:style w:type="paragraph" w:styleId="Bibliography">
    <w:name w:val="Bibliography"/>
    <w:basedOn w:val="Normal"/>
    <w:next w:val="Normal"/>
    <w:uiPriority w:val="99"/>
    <w:rsid w:val="009166AD"/>
  </w:style>
  <w:style w:type="paragraph" w:styleId="Revision">
    <w:name w:val="Revision"/>
    <w:hidden/>
    <w:uiPriority w:val="99"/>
    <w:semiHidden/>
    <w:rsid w:val="009166AD"/>
    <w:pPr>
      <w:spacing w:after="0" w:line="240" w:lineRule="auto"/>
      <w:ind w:left="0" w:firstLine="0"/>
      <w:jc w:val="left"/>
    </w:pPr>
    <w:rPr>
      <w:rFonts w:ascii="Times New Roman" w:hAnsi="Times New Roman"/>
      <w:sz w:val="24"/>
      <w:szCs w:val="22"/>
    </w:rPr>
  </w:style>
  <w:style w:type="table" w:customStyle="1" w:styleId="ItronBasic">
    <w:name w:val="ItronBasic"/>
    <w:uiPriority w:val="99"/>
    <w:rsid w:val="009166AD"/>
    <w:pPr>
      <w:spacing w:after="0" w:line="240" w:lineRule="auto"/>
      <w:ind w:left="0" w:firstLine="0"/>
      <w:jc w:val="left"/>
    </w:p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7E934-8589-4C75-B6C8-897B9A4DB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3515</Words>
  <Characters>18699</Characters>
  <Application>Microsoft Office Word</Application>
  <DocSecurity>0</DocSecurity>
  <Lines>155</Lines>
  <Paragraphs>44</Paragraphs>
  <ScaleCrop>false</ScaleCrop>
  <Company>Itron</Company>
  <LinksUpToDate>false</LinksUpToDate>
  <CharactersWithSpaces>22170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ALEXK</dc:creator>
  <cp:lastModifiedBy>ALEXK</cp:lastModifiedBy>
  <cp:revision>4</cp:revision>
  <cp:lastPrinted>2009-01-22T17:29:00Z</cp:lastPrinted>
  <dcterms:created xsi:type="dcterms:W3CDTF">2011-11-08T18:55:00Z</dcterms:created>
  <dcterms:modified xsi:type="dcterms:W3CDTF">2011-11-08T19:28:00Z</dcterms:modified>
</cp:coreProperties>
</file>